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39406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0" w:name="_GoBack"/>
      <w:bookmarkEnd w:id="0"/>
    </w:p>
    <w:p w14:paraId="7BB2A49C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F61ED62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DC940E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B28B38E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37D1997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14B88E1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9CEDD1B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0052595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07F97A0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E8AE70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E78EC4E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00E6294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E86D28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9B06382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EE660BF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71A5627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67FD0C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6377E6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AFB716B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B3AFEEB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52708A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2B418A6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2229331" w14:textId="55DFDEB2" w:rsidR="000F3A0B" w:rsidRPr="00C75973" w:rsidRDefault="00C75973" w:rsidP="00C75973">
      <w:pPr>
        <w:pStyle w:val="Style3"/>
        <w:numPr>
          <w:ilvl w:val="0"/>
          <w:numId w:val="0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B. </w:t>
      </w:r>
      <w:r w:rsidR="00EE0346" w:rsidRPr="00C75973">
        <w:rPr>
          <w:rFonts w:asciiTheme="majorBidi" w:hAnsiTheme="majorBidi" w:cstheme="majorBidi"/>
        </w:rPr>
        <w:t>PŘÍBALOVÁ INFORMACE</w:t>
      </w:r>
    </w:p>
    <w:p w14:paraId="03756E16" w14:textId="77777777" w:rsidR="000F3A0B" w:rsidRPr="00C75973" w:rsidRDefault="00EE0346" w:rsidP="00C75973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br w:type="page"/>
      </w:r>
      <w:r w:rsidRPr="00C75973">
        <w:rPr>
          <w:rFonts w:asciiTheme="majorBidi" w:hAnsiTheme="majorBidi" w:cstheme="majorBidi"/>
          <w:b/>
          <w:szCs w:val="22"/>
        </w:rPr>
        <w:lastRenderedPageBreak/>
        <w:t>PŘÍBALOVÁ INFORMACE</w:t>
      </w:r>
    </w:p>
    <w:p w14:paraId="4B0CE6B6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8FB9EBC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8057FEA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1.</w:t>
      </w:r>
      <w:r w:rsidRPr="00C75973">
        <w:rPr>
          <w:rFonts w:asciiTheme="majorBidi" w:hAnsiTheme="majorBidi" w:cstheme="majorBidi"/>
        </w:rPr>
        <w:tab/>
        <w:t>Název veterinárního léčivého přípravku</w:t>
      </w:r>
    </w:p>
    <w:p w14:paraId="06092A40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A67EA4" w14:textId="77777777" w:rsidR="000F3A0B" w:rsidRPr="00C75973" w:rsidRDefault="00EE0346" w:rsidP="00C75973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C75973">
        <w:rPr>
          <w:rFonts w:asciiTheme="majorBidi" w:hAnsiTheme="majorBidi" w:cstheme="majorBidi"/>
          <w:szCs w:val="22"/>
        </w:rPr>
        <w:t>Rimadyl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C75973">
        <w:rPr>
          <w:rFonts w:asciiTheme="majorBidi" w:hAnsiTheme="majorBidi" w:cstheme="majorBidi"/>
          <w:szCs w:val="22"/>
        </w:rPr>
        <w:t>Palatable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20 mg tablety pro psy</w:t>
      </w:r>
    </w:p>
    <w:p w14:paraId="5B8E9978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8A2651E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2.</w:t>
      </w:r>
      <w:r w:rsidRPr="00C75973">
        <w:rPr>
          <w:rFonts w:asciiTheme="majorBidi" w:hAnsiTheme="majorBidi" w:cstheme="majorBidi"/>
        </w:rPr>
        <w:tab/>
        <w:t>Složení</w:t>
      </w:r>
    </w:p>
    <w:p w14:paraId="590DDF2D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0437B2CB" w14:textId="50A2346C" w:rsidR="000F3A0B" w:rsidRPr="00C75973" w:rsidRDefault="00A65A16" w:rsidP="00C75973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Jedna tableta</w:t>
      </w:r>
      <w:r>
        <w:rPr>
          <w:rFonts w:asciiTheme="majorBidi" w:hAnsiTheme="majorBidi" w:cstheme="majorBidi"/>
          <w:szCs w:val="22"/>
        </w:rPr>
        <w:t xml:space="preserve"> </w:t>
      </w:r>
      <w:r w:rsidR="00EE0346" w:rsidRPr="00C75973">
        <w:rPr>
          <w:rFonts w:asciiTheme="majorBidi" w:hAnsiTheme="majorBidi" w:cstheme="majorBidi"/>
          <w:szCs w:val="22"/>
        </w:rPr>
        <w:t xml:space="preserve">obsahuje: </w:t>
      </w:r>
    </w:p>
    <w:p w14:paraId="67D2C95F" w14:textId="77777777" w:rsidR="000F3A0B" w:rsidRPr="00C75973" w:rsidRDefault="000F3A0B" w:rsidP="00C75973">
      <w:pPr>
        <w:spacing w:line="240" w:lineRule="auto"/>
        <w:rPr>
          <w:rFonts w:asciiTheme="majorBidi" w:hAnsiTheme="majorBidi" w:cstheme="majorBidi"/>
          <w:szCs w:val="22"/>
        </w:rPr>
      </w:pPr>
    </w:p>
    <w:p w14:paraId="1C84211F" w14:textId="1F9F845A" w:rsidR="000F3A0B" w:rsidRDefault="00EE0346" w:rsidP="00C75973">
      <w:pPr>
        <w:spacing w:line="240" w:lineRule="auto"/>
        <w:rPr>
          <w:rFonts w:asciiTheme="majorBidi" w:hAnsiTheme="majorBidi" w:cstheme="majorBidi"/>
          <w:b/>
          <w:szCs w:val="22"/>
        </w:rPr>
      </w:pPr>
      <w:r w:rsidRPr="00C75973">
        <w:rPr>
          <w:rFonts w:asciiTheme="majorBidi" w:hAnsiTheme="majorBidi" w:cstheme="majorBidi"/>
          <w:b/>
          <w:szCs w:val="22"/>
        </w:rPr>
        <w:t>Léčivá látka:</w:t>
      </w:r>
    </w:p>
    <w:p w14:paraId="059AD0AC" w14:textId="77777777" w:rsidR="006349E0" w:rsidRPr="00C75973" w:rsidRDefault="006349E0" w:rsidP="00C75973">
      <w:pPr>
        <w:spacing w:line="240" w:lineRule="auto"/>
        <w:rPr>
          <w:rFonts w:asciiTheme="majorBidi" w:hAnsiTheme="majorBidi" w:cstheme="majorBidi"/>
          <w:b/>
          <w:szCs w:val="22"/>
        </w:rPr>
      </w:pPr>
    </w:p>
    <w:p w14:paraId="13F77369" w14:textId="0CDC7312" w:rsidR="000F3A0B" w:rsidRDefault="00EE0346" w:rsidP="00C75973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proofErr w:type="spellStart"/>
      <w:r w:rsidRPr="00C75973">
        <w:rPr>
          <w:rFonts w:asciiTheme="majorBidi" w:hAnsiTheme="majorBidi" w:cstheme="majorBidi"/>
          <w:szCs w:val="22"/>
        </w:rPr>
        <w:t>Carprofenum</w:t>
      </w:r>
      <w:proofErr w:type="spellEnd"/>
      <w:r w:rsidR="00E97181">
        <w:rPr>
          <w:rFonts w:asciiTheme="majorBidi" w:hAnsiTheme="majorBidi" w:cstheme="majorBidi"/>
          <w:szCs w:val="22"/>
        </w:rPr>
        <w:tab/>
      </w:r>
      <w:r w:rsidRPr="00C75973">
        <w:rPr>
          <w:rFonts w:asciiTheme="majorBidi" w:hAnsiTheme="majorBidi" w:cstheme="majorBidi"/>
          <w:szCs w:val="22"/>
        </w:rPr>
        <w:t xml:space="preserve">20 mg </w:t>
      </w:r>
    </w:p>
    <w:p w14:paraId="1D6AC18C" w14:textId="77777777" w:rsidR="007B3DDD" w:rsidRPr="00C75973" w:rsidRDefault="007B3DDD" w:rsidP="00C75973">
      <w:pPr>
        <w:spacing w:line="240" w:lineRule="auto"/>
        <w:ind w:right="15"/>
        <w:rPr>
          <w:rFonts w:asciiTheme="majorBidi" w:hAnsiTheme="majorBidi" w:cstheme="majorBidi"/>
          <w:szCs w:val="22"/>
        </w:rPr>
      </w:pPr>
    </w:p>
    <w:p w14:paraId="1FBB8A44" w14:textId="77777777" w:rsidR="007B3DDD" w:rsidRPr="00F85F46" w:rsidRDefault="007B3DDD" w:rsidP="007B3DDD">
      <w:pPr>
        <w:spacing w:line="240" w:lineRule="auto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>Světlehnědé ochucené tablety s dělící rýhou na jedné straně.</w:t>
      </w:r>
    </w:p>
    <w:p w14:paraId="5B4233F8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D0A097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3.</w:t>
      </w:r>
      <w:r w:rsidRPr="00C75973">
        <w:rPr>
          <w:rFonts w:asciiTheme="majorBidi" w:hAnsiTheme="majorBidi" w:cstheme="majorBidi"/>
        </w:rPr>
        <w:tab/>
        <w:t>Cílové druhy zvířat</w:t>
      </w:r>
    </w:p>
    <w:p w14:paraId="7FAD7F1E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DF29FEE" w14:textId="77777777" w:rsidR="000F3A0B" w:rsidRPr="00C75973" w:rsidRDefault="00EE0346" w:rsidP="00C75973">
      <w:pPr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Psi</w:t>
      </w:r>
    </w:p>
    <w:p w14:paraId="1074C634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AE47402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4.</w:t>
      </w:r>
      <w:r w:rsidRPr="00C75973">
        <w:rPr>
          <w:rFonts w:asciiTheme="majorBidi" w:hAnsiTheme="majorBidi" w:cstheme="majorBidi"/>
        </w:rPr>
        <w:tab/>
        <w:t>Indikace pro použití</w:t>
      </w:r>
    </w:p>
    <w:p w14:paraId="594356A1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874E07F" w14:textId="1F031D7A" w:rsidR="00352654" w:rsidRPr="00EC00B4" w:rsidRDefault="00EE0346" w:rsidP="00352654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proofErr w:type="spellStart"/>
      <w:r w:rsidRPr="00C75973">
        <w:rPr>
          <w:rFonts w:asciiTheme="majorBidi" w:hAnsiTheme="majorBidi" w:cstheme="majorBidi"/>
          <w:szCs w:val="22"/>
        </w:rPr>
        <w:t>Analgézie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a zmírnění zánětu při chronických </w:t>
      </w:r>
      <w:proofErr w:type="spellStart"/>
      <w:r w:rsidRPr="00C75973">
        <w:rPr>
          <w:rFonts w:asciiTheme="majorBidi" w:hAnsiTheme="majorBidi" w:cstheme="majorBidi"/>
          <w:szCs w:val="22"/>
        </w:rPr>
        <w:t>muskuloskeletárních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onemocněních, např. degenerační onemocnění kloubů. </w:t>
      </w:r>
      <w:r w:rsidR="00352654">
        <w:rPr>
          <w:rFonts w:asciiTheme="majorBidi" w:hAnsiTheme="majorBidi" w:cstheme="majorBidi"/>
          <w:szCs w:val="22"/>
        </w:rPr>
        <w:t>Veterinární léčivý přípravek</w:t>
      </w:r>
      <w:r w:rsidR="00352654" w:rsidRPr="00EC00B4">
        <w:rPr>
          <w:rFonts w:asciiTheme="majorBidi" w:hAnsiTheme="majorBidi" w:cstheme="majorBidi"/>
          <w:szCs w:val="22"/>
        </w:rPr>
        <w:t xml:space="preserve"> j</w:t>
      </w:r>
      <w:r w:rsidR="00352654">
        <w:rPr>
          <w:rFonts w:asciiTheme="majorBidi" w:hAnsiTheme="majorBidi" w:cstheme="majorBidi"/>
          <w:szCs w:val="22"/>
        </w:rPr>
        <w:t>e</w:t>
      </w:r>
      <w:r w:rsidR="00352654" w:rsidRPr="00EC00B4">
        <w:rPr>
          <w:rFonts w:asciiTheme="majorBidi" w:hAnsiTheme="majorBidi" w:cstheme="majorBidi"/>
          <w:szCs w:val="22"/>
        </w:rPr>
        <w:t xml:space="preserve"> též určen </w:t>
      </w:r>
      <w:r w:rsidR="00352654">
        <w:rPr>
          <w:rFonts w:asciiTheme="majorBidi" w:hAnsiTheme="majorBidi" w:cstheme="majorBidi"/>
          <w:szCs w:val="22"/>
        </w:rPr>
        <w:t>ke</w:t>
      </w:r>
      <w:r w:rsidR="00352654" w:rsidRPr="00EC00B4">
        <w:rPr>
          <w:rFonts w:asciiTheme="majorBidi" w:hAnsiTheme="majorBidi" w:cstheme="majorBidi"/>
          <w:szCs w:val="22"/>
        </w:rPr>
        <w:t xml:space="preserve"> tlumení pooperační bolesti.</w:t>
      </w:r>
    </w:p>
    <w:p w14:paraId="7B406913" w14:textId="77777777" w:rsidR="000F3A0B" w:rsidRPr="00C75973" w:rsidRDefault="000F3A0B" w:rsidP="00352654">
      <w:pPr>
        <w:spacing w:line="240" w:lineRule="auto"/>
        <w:ind w:right="15"/>
        <w:rPr>
          <w:rFonts w:asciiTheme="majorBidi" w:hAnsiTheme="majorBidi" w:cstheme="majorBidi"/>
          <w:szCs w:val="22"/>
        </w:rPr>
      </w:pPr>
    </w:p>
    <w:p w14:paraId="710BF88F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5.</w:t>
      </w:r>
      <w:r w:rsidRPr="00C75973">
        <w:rPr>
          <w:rFonts w:asciiTheme="majorBidi" w:hAnsiTheme="majorBidi" w:cstheme="majorBidi"/>
        </w:rPr>
        <w:tab/>
        <w:t>Kontraindikace</w:t>
      </w:r>
    </w:p>
    <w:p w14:paraId="734B6D1F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E1C0BF6" w14:textId="046AFFE0" w:rsidR="00352654" w:rsidRPr="00EC00B4" w:rsidRDefault="00EE0346" w:rsidP="0035265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 xml:space="preserve">Čas eliminace nesteroidních antiflogistik včetně </w:t>
      </w:r>
      <w:proofErr w:type="spellStart"/>
      <w:r w:rsidRPr="00C75973">
        <w:rPr>
          <w:rFonts w:asciiTheme="majorBidi" w:hAnsiTheme="majorBidi" w:cstheme="majorBidi"/>
          <w:szCs w:val="22"/>
        </w:rPr>
        <w:t>karprofenu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je u koček delší než u psů a terapeutický index je užší. </w:t>
      </w:r>
      <w:r w:rsidR="00352654" w:rsidRPr="00EC00B4">
        <w:rPr>
          <w:rFonts w:asciiTheme="majorBidi" w:hAnsiTheme="majorBidi" w:cstheme="majorBidi"/>
          <w:szCs w:val="22"/>
        </w:rPr>
        <w:t xml:space="preserve">Z důvodu nedostatku specifických údajů o použití </w:t>
      </w:r>
      <w:r w:rsidR="00352654">
        <w:rPr>
          <w:rFonts w:asciiTheme="majorBidi" w:hAnsiTheme="majorBidi" w:cstheme="majorBidi"/>
          <w:szCs w:val="22"/>
        </w:rPr>
        <w:t>tohoto veterinárního léčivého přípravku</w:t>
      </w:r>
      <w:r w:rsidR="00352654" w:rsidRPr="00EC00B4">
        <w:rPr>
          <w:rFonts w:asciiTheme="majorBidi" w:hAnsiTheme="majorBidi" w:cstheme="majorBidi"/>
          <w:szCs w:val="22"/>
        </w:rPr>
        <w:t xml:space="preserve"> u koček je </w:t>
      </w:r>
      <w:r w:rsidR="00352654">
        <w:rPr>
          <w:rFonts w:asciiTheme="majorBidi" w:hAnsiTheme="majorBidi" w:cstheme="majorBidi"/>
          <w:szCs w:val="22"/>
        </w:rPr>
        <w:t>jeho</w:t>
      </w:r>
      <w:r w:rsidR="00352654" w:rsidRPr="00EC00B4">
        <w:rPr>
          <w:rFonts w:asciiTheme="majorBidi" w:hAnsiTheme="majorBidi" w:cstheme="majorBidi"/>
          <w:szCs w:val="22"/>
        </w:rPr>
        <w:t xml:space="preserve"> použití kontraindikov</w:t>
      </w:r>
      <w:r w:rsidR="00352654">
        <w:rPr>
          <w:rFonts w:asciiTheme="majorBidi" w:hAnsiTheme="majorBidi" w:cstheme="majorBidi"/>
          <w:szCs w:val="22"/>
        </w:rPr>
        <w:t>áno</w:t>
      </w:r>
      <w:r w:rsidR="00352654" w:rsidRPr="00EC00B4">
        <w:rPr>
          <w:rFonts w:asciiTheme="majorBidi" w:hAnsiTheme="majorBidi" w:cstheme="majorBidi"/>
          <w:szCs w:val="22"/>
        </w:rPr>
        <w:t>.</w:t>
      </w:r>
    </w:p>
    <w:p w14:paraId="7503B53B" w14:textId="77777777" w:rsidR="00352654" w:rsidRPr="00EC00B4" w:rsidRDefault="00352654" w:rsidP="00352654">
      <w:pPr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Nepoužívat u zvířat </w:t>
      </w:r>
      <w:r>
        <w:rPr>
          <w:rFonts w:asciiTheme="majorBidi" w:hAnsiTheme="majorBidi" w:cstheme="majorBidi"/>
          <w:szCs w:val="22"/>
        </w:rPr>
        <w:t>s onemocněním</w:t>
      </w:r>
      <w:r w:rsidRPr="00EC00B4">
        <w:rPr>
          <w:rFonts w:asciiTheme="majorBidi" w:hAnsiTheme="majorBidi" w:cstheme="majorBidi"/>
          <w:szCs w:val="22"/>
        </w:rPr>
        <w:t xml:space="preserve"> srd</w:t>
      </w:r>
      <w:r>
        <w:rPr>
          <w:rFonts w:asciiTheme="majorBidi" w:hAnsiTheme="majorBidi" w:cstheme="majorBidi"/>
          <w:szCs w:val="22"/>
        </w:rPr>
        <w:t>ce</w:t>
      </w:r>
      <w:r w:rsidRPr="00EC00B4">
        <w:rPr>
          <w:rFonts w:asciiTheme="majorBidi" w:hAnsiTheme="majorBidi" w:cstheme="majorBidi"/>
          <w:szCs w:val="22"/>
        </w:rPr>
        <w:t xml:space="preserve">, jater nebo ledvin, </w:t>
      </w:r>
      <w:r>
        <w:rPr>
          <w:rFonts w:asciiTheme="majorBidi" w:hAnsiTheme="majorBidi" w:cstheme="majorBidi"/>
          <w:szCs w:val="22"/>
        </w:rPr>
        <w:t>u zvířat s</w:t>
      </w:r>
      <w:r w:rsidRPr="00EC00B4">
        <w:rPr>
          <w:rFonts w:asciiTheme="majorBidi" w:hAnsiTheme="majorBidi" w:cstheme="majorBidi"/>
          <w:szCs w:val="22"/>
        </w:rPr>
        <w:t xml:space="preserve"> možnost</w:t>
      </w:r>
      <w:r>
        <w:rPr>
          <w:rFonts w:asciiTheme="majorBidi" w:hAnsiTheme="majorBidi" w:cstheme="majorBidi"/>
          <w:szCs w:val="22"/>
        </w:rPr>
        <w:t>í</w:t>
      </w:r>
      <w:r w:rsidRPr="00EC00B4">
        <w:rPr>
          <w:rFonts w:asciiTheme="majorBidi" w:hAnsiTheme="majorBidi" w:cstheme="majorBidi"/>
          <w:szCs w:val="22"/>
        </w:rPr>
        <w:t xml:space="preserve"> gastrointestinální ulcerace nebo krvácení nebo </w:t>
      </w:r>
      <w:r>
        <w:rPr>
          <w:rFonts w:asciiTheme="majorBidi" w:hAnsiTheme="majorBidi" w:cstheme="majorBidi"/>
          <w:szCs w:val="22"/>
        </w:rPr>
        <w:t>zvířat se</w:t>
      </w:r>
      <w:r w:rsidRPr="00EC00B4">
        <w:rPr>
          <w:rFonts w:asciiTheme="majorBidi" w:hAnsiTheme="majorBidi" w:cstheme="majorBidi"/>
          <w:szCs w:val="22"/>
        </w:rPr>
        <w:t xml:space="preserve"> zjevn</w:t>
      </w:r>
      <w:r>
        <w:rPr>
          <w:rFonts w:asciiTheme="majorBidi" w:hAnsiTheme="majorBidi" w:cstheme="majorBidi"/>
          <w:szCs w:val="22"/>
        </w:rPr>
        <w:t>ou</w:t>
      </w:r>
      <w:r w:rsidRPr="00EC00B4">
        <w:rPr>
          <w:rFonts w:asciiTheme="majorBidi" w:hAnsiTheme="majorBidi" w:cstheme="majorBidi"/>
          <w:szCs w:val="22"/>
        </w:rPr>
        <w:t xml:space="preserve"> krevní dyskrazi</w:t>
      </w:r>
      <w:r>
        <w:rPr>
          <w:rFonts w:asciiTheme="majorBidi" w:hAnsiTheme="majorBidi" w:cstheme="majorBidi"/>
          <w:szCs w:val="22"/>
        </w:rPr>
        <w:t>í</w:t>
      </w:r>
      <w:r w:rsidRPr="00EC00B4">
        <w:rPr>
          <w:rFonts w:asciiTheme="majorBidi" w:hAnsiTheme="majorBidi" w:cstheme="majorBidi"/>
          <w:szCs w:val="22"/>
        </w:rPr>
        <w:t xml:space="preserve"> nebo hypersenzitivit</w:t>
      </w:r>
      <w:r>
        <w:rPr>
          <w:rFonts w:asciiTheme="majorBidi" w:hAnsiTheme="majorBidi" w:cstheme="majorBidi"/>
          <w:szCs w:val="22"/>
        </w:rPr>
        <w:t>ou</w:t>
      </w:r>
      <w:r w:rsidRPr="00EC00B4">
        <w:rPr>
          <w:rFonts w:asciiTheme="majorBidi" w:hAnsiTheme="majorBidi" w:cstheme="majorBidi"/>
          <w:szCs w:val="22"/>
        </w:rPr>
        <w:t xml:space="preserve"> na </w:t>
      </w:r>
      <w:r>
        <w:rPr>
          <w:rFonts w:asciiTheme="majorBidi" w:hAnsiTheme="majorBidi" w:cstheme="majorBidi"/>
          <w:szCs w:val="22"/>
        </w:rPr>
        <w:t xml:space="preserve">tento veterinární léčivý </w:t>
      </w:r>
      <w:r w:rsidRPr="00EC00B4">
        <w:rPr>
          <w:rFonts w:asciiTheme="majorBidi" w:hAnsiTheme="majorBidi" w:cstheme="majorBidi"/>
          <w:szCs w:val="22"/>
        </w:rPr>
        <w:t>přípravek. Tak jako u ostatních nesteroidních antiflogistik existuje riziko ojedinělých ledvin</w:t>
      </w:r>
      <w:r>
        <w:rPr>
          <w:rFonts w:asciiTheme="majorBidi" w:hAnsiTheme="majorBidi" w:cstheme="majorBidi"/>
          <w:szCs w:val="22"/>
        </w:rPr>
        <w:t>n</w:t>
      </w:r>
      <w:r w:rsidRPr="00EC00B4">
        <w:rPr>
          <w:rFonts w:asciiTheme="majorBidi" w:hAnsiTheme="majorBidi" w:cstheme="majorBidi"/>
          <w:szCs w:val="22"/>
        </w:rPr>
        <w:t xml:space="preserve">ých nebo jaterních nežádoucích reakcí. Nepoužívat v průběhu </w:t>
      </w:r>
      <w:r>
        <w:rPr>
          <w:rFonts w:asciiTheme="majorBidi" w:hAnsiTheme="majorBidi" w:cstheme="majorBidi"/>
          <w:szCs w:val="22"/>
        </w:rPr>
        <w:t>březosti</w:t>
      </w:r>
      <w:r w:rsidRPr="00EC00B4">
        <w:rPr>
          <w:rFonts w:asciiTheme="majorBidi" w:hAnsiTheme="majorBidi" w:cstheme="majorBidi"/>
          <w:szCs w:val="22"/>
        </w:rPr>
        <w:t xml:space="preserve"> a laktace.</w:t>
      </w:r>
    </w:p>
    <w:p w14:paraId="2A4C829C" w14:textId="77777777" w:rsidR="00352654" w:rsidRPr="00EC00B4" w:rsidRDefault="00352654" w:rsidP="0035265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Neaplikovat současně nebo v průběhu (před a po) 24 hodin jiná nesteroidní antiflogistika (NSAID). Některá NSAID mohou být silně vázaná na plazmatické </w:t>
      </w:r>
      <w:r>
        <w:rPr>
          <w:rFonts w:asciiTheme="majorBidi" w:hAnsiTheme="majorBidi" w:cstheme="majorBidi"/>
          <w:szCs w:val="22"/>
        </w:rPr>
        <w:t>bílkovi</w:t>
      </w:r>
      <w:r w:rsidRPr="00EC00B4">
        <w:rPr>
          <w:rFonts w:asciiTheme="majorBidi" w:hAnsiTheme="majorBidi" w:cstheme="majorBidi"/>
          <w:szCs w:val="22"/>
        </w:rPr>
        <w:t>ny a mohou soutěžit s jinými silně vázanými l</w:t>
      </w:r>
      <w:r>
        <w:rPr>
          <w:rFonts w:asciiTheme="majorBidi" w:hAnsiTheme="majorBidi" w:cstheme="majorBidi"/>
          <w:szCs w:val="22"/>
        </w:rPr>
        <w:t>átkami</w:t>
      </w:r>
      <w:r w:rsidRPr="00EC00B4">
        <w:rPr>
          <w:rFonts w:asciiTheme="majorBidi" w:hAnsiTheme="majorBidi" w:cstheme="majorBidi"/>
          <w:szCs w:val="22"/>
        </w:rPr>
        <w:t xml:space="preserve">, což může vyvolat toxický </w:t>
      </w:r>
      <w:r>
        <w:rPr>
          <w:rFonts w:asciiTheme="majorBidi" w:hAnsiTheme="majorBidi" w:cstheme="majorBidi"/>
          <w:szCs w:val="22"/>
        </w:rPr>
        <w:t>účinek</w:t>
      </w:r>
      <w:r w:rsidRPr="00EC00B4">
        <w:rPr>
          <w:rFonts w:asciiTheme="majorBidi" w:hAnsiTheme="majorBidi" w:cstheme="majorBidi"/>
          <w:szCs w:val="22"/>
        </w:rPr>
        <w:t>.</w:t>
      </w:r>
    </w:p>
    <w:p w14:paraId="3ACFA7EE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5155E17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6.</w:t>
      </w:r>
      <w:r w:rsidRPr="00C75973">
        <w:rPr>
          <w:rFonts w:asciiTheme="majorBidi" w:hAnsiTheme="majorBidi" w:cstheme="majorBidi"/>
        </w:rPr>
        <w:tab/>
        <w:t>Zvláštní upozornění</w:t>
      </w:r>
    </w:p>
    <w:p w14:paraId="5FC77B56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2D36A10" w14:textId="0C46E115" w:rsidR="000F3A0B" w:rsidRDefault="00EE0346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  <w:u w:val="single"/>
        </w:rPr>
      </w:pPr>
      <w:r w:rsidRPr="00C75973">
        <w:rPr>
          <w:rFonts w:asciiTheme="majorBidi" w:hAnsiTheme="majorBidi" w:cstheme="majorBidi"/>
          <w:bCs/>
          <w:szCs w:val="22"/>
          <w:u w:val="single"/>
        </w:rPr>
        <w:t>Zvláštní upozornění:</w:t>
      </w:r>
    </w:p>
    <w:p w14:paraId="2892F5A9" w14:textId="77777777" w:rsidR="00352654" w:rsidRPr="00EC00B4" w:rsidRDefault="00352654" w:rsidP="0035265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 xml:space="preserve">Vzhledem k ochucení </w:t>
      </w:r>
      <w:r>
        <w:rPr>
          <w:rFonts w:asciiTheme="majorBidi" w:hAnsiTheme="majorBidi" w:cstheme="majorBidi"/>
          <w:szCs w:val="22"/>
        </w:rPr>
        <w:t>veterinárního léčivého přípravku</w:t>
      </w:r>
      <w:r w:rsidRPr="00EC00B4">
        <w:rPr>
          <w:rFonts w:asciiTheme="majorBidi" w:hAnsiTheme="majorBidi" w:cstheme="majorBidi"/>
          <w:szCs w:val="22"/>
        </w:rPr>
        <w:t xml:space="preserve"> je potřebné je</w:t>
      </w:r>
      <w:r>
        <w:rPr>
          <w:rFonts w:asciiTheme="majorBidi" w:hAnsiTheme="majorBidi" w:cstheme="majorBidi"/>
          <w:szCs w:val="22"/>
        </w:rPr>
        <w:t>j</w:t>
      </w:r>
      <w:r w:rsidRPr="00EC00B4">
        <w:rPr>
          <w:rFonts w:asciiTheme="majorBidi" w:hAnsiTheme="majorBidi" w:cstheme="majorBidi"/>
          <w:szCs w:val="22"/>
        </w:rPr>
        <w:t xml:space="preserve"> uchovávat na bezpečném místě. </w:t>
      </w:r>
      <w:r>
        <w:rPr>
          <w:rFonts w:asciiTheme="majorBidi" w:hAnsiTheme="majorBidi" w:cstheme="majorBidi"/>
          <w:szCs w:val="22"/>
        </w:rPr>
        <w:t>P</w:t>
      </w:r>
      <w:r w:rsidRPr="00EC00B4">
        <w:rPr>
          <w:rFonts w:asciiTheme="majorBidi" w:hAnsiTheme="majorBidi" w:cstheme="majorBidi"/>
          <w:szCs w:val="22"/>
        </w:rPr>
        <w:t xml:space="preserve">ožití velkého množství tablet </w:t>
      </w:r>
      <w:r>
        <w:rPr>
          <w:rFonts w:asciiTheme="majorBidi" w:hAnsiTheme="majorBidi" w:cstheme="majorBidi"/>
          <w:szCs w:val="22"/>
        </w:rPr>
        <w:t>může vyvolat</w:t>
      </w:r>
      <w:r w:rsidRPr="00EC00B4">
        <w:rPr>
          <w:rFonts w:asciiTheme="majorBidi" w:hAnsiTheme="majorBidi" w:cstheme="majorBidi"/>
          <w:szCs w:val="22"/>
        </w:rPr>
        <w:t xml:space="preserve"> závažné nežádoucí reakce. Pokud máte podezření, že </w:t>
      </w:r>
      <w:r>
        <w:rPr>
          <w:rFonts w:asciiTheme="majorBidi" w:hAnsiTheme="majorBidi" w:cstheme="majorBidi"/>
          <w:szCs w:val="22"/>
        </w:rPr>
        <w:t>v</w:t>
      </w:r>
      <w:r w:rsidRPr="00EC00B4">
        <w:rPr>
          <w:rFonts w:asciiTheme="majorBidi" w:hAnsiTheme="majorBidi" w:cstheme="majorBidi"/>
          <w:szCs w:val="22"/>
        </w:rPr>
        <w:t xml:space="preserve">áš pes (nebo kočka) požil </w:t>
      </w:r>
      <w:r>
        <w:rPr>
          <w:rFonts w:asciiTheme="majorBidi" w:hAnsiTheme="majorBidi" w:cstheme="majorBidi"/>
          <w:szCs w:val="22"/>
        </w:rPr>
        <w:t>tento veterinární léčivý přípravek</w:t>
      </w:r>
      <w:r w:rsidRPr="00EC00B4">
        <w:rPr>
          <w:rFonts w:asciiTheme="majorBidi" w:hAnsiTheme="majorBidi" w:cstheme="majorBidi"/>
          <w:szCs w:val="22"/>
        </w:rPr>
        <w:t xml:space="preserve"> v dávce vyšší</w:t>
      </w:r>
      <w:r>
        <w:rPr>
          <w:rFonts w:asciiTheme="majorBidi" w:hAnsiTheme="majorBidi" w:cstheme="majorBidi"/>
          <w:szCs w:val="22"/>
        </w:rPr>
        <w:t>,</w:t>
      </w:r>
      <w:r w:rsidRPr="00EC00B4">
        <w:rPr>
          <w:rFonts w:asciiTheme="majorBidi" w:hAnsiTheme="majorBidi" w:cstheme="majorBidi"/>
          <w:szCs w:val="22"/>
        </w:rPr>
        <w:t xml:space="preserve"> než je doporučené, kontaktujte veterinárního lékaře.</w:t>
      </w:r>
    </w:p>
    <w:p w14:paraId="28E7288A" w14:textId="77777777" w:rsidR="00352654" w:rsidRPr="00EC00B4" w:rsidRDefault="00352654" w:rsidP="0035265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0B0F4C" w14:textId="77777777" w:rsidR="00352654" w:rsidRPr="0020560F" w:rsidRDefault="00352654" w:rsidP="00352654">
      <w:pPr>
        <w:tabs>
          <w:tab w:val="clear" w:pos="567"/>
        </w:tabs>
        <w:spacing w:line="240" w:lineRule="auto"/>
      </w:pPr>
      <w:r w:rsidRPr="0020560F">
        <w:rPr>
          <w:u w:val="single"/>
        </w:rPr>
        <w:t>Zvláštní opatření pro bezpečné použití u cílových druhů zvířat</w:t>
      </w:r>
      <w:r w:rsidRPr="0020560F">
        <w:t>:</w:t>
      </w:r>
    </w:p>
    <w:p w14:paraId="6916924B" w14:textId="77777777" w:rsidR="001F3783" w:rsidRPr="00C75973" w:rsidRDefault="001F3783" w:rsidP="001F378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Nepřekračovat doporučené dávky.</w:t>
      </w:r>
    </w:p>
    <w:p w14:paraId="5B933899" w14:textId="77777777" w:rsidR="00DC3617" w:rsidRPr="00EC00B4" w:rsidRDefault="00DC3617" w:rsidP="00DC3617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Použití u psů mladších než 6 týdnů nebo u starých psů může představovat určité riziko. Pokud je použití nevyhnutelné, tito psi by měli dostat redukovanou dávku a měli by být pozorně klinicky sledováni.</w:t>
      </w:r>
    </w:p>
    <w:p w14:paraId="65EC94E1" w14:textId="77777777" w:rsidR="00352654" w:rsidRPr="00EC00B4" w:rsidRDefault="00352654" w:rsidP="0035265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Vyhn</w:t>
      </w:r>
      <w:r>
        <w:rPr>
          <w:rFonts w:asciiTheme="majorBidi" w:hAnsiTheme="majorBidi" w:cstheme="majorBidi"/>
          <w:szCs w:val="22"/>
        </w:rPr>
        <w:t>ěte</w:t>
      </w:r>
      <w:r w:rsidRPr="00EC00B4">
        <w:rPr>
          <w:rFonts w:asciiTheme="majorBidi" w:hAnsiTheme="majorBidi" w:cstheme="majorBidi"/>
          <w:szCs w:val="22"/>
        </w:rPr>
        <w:t xml:space="preserve"> se použití u dehydrovaných, </w:t>
      </w:r>
      <w:proofErr w:type="spellStart"/>
      <w:r w:rsidRPr="00EC00B4">
        <w:rPr>
          <w:rFonts w:asciiTheme="majorBidi" w:hAnsiTheme="majorBidi" w:cstheme="majorBidi"/>
          <w:szCs w:val="22"/>
        </w:rPr>
        <w:t>hypovolemických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nebo hypotenzních psů, protože </w:t>
      </w:r>
      <w:r>
        <w:rPr>
          <w:rFonts w:asciiTheme="majorBidi" w:hAnsiTheme="majorBidi" w:cstheme="majorBidi"/>
          <w:szCs w:val="22"/>
        </w:rPr>
        <w:t>existuje</w:t>
      </w:r>
      <w:r w:rsidRPr="00EC00B4">
        <w:rPr>
          <w:rFonts w:asciiTheme="majorBidi" w:hAnsiTheme="majorBidi" w:cstheme="majorBidi"/>
          <w:szCs w:val="22"/>
        </w:rPr>
        <w:t xml:space="preserve"> </w:t>
      </w:r>
      <w:r>
        <w:rPr>
          <w:rFonts w:asciiTheme="majorBidi" w:hAnsiTheme="majorBidi" w:cstheme="majorBidi"/>
          <w:szCs w:val="22"/>
        </w:rPr>
        <w:t xml:space="preserve">potenciální </w:t>
      </w:r>
      <w:r w:rsidRPr="00EC00B4">
        <w:rPr>
          <w:rFonts w:asciiTheme="majorBidi" w:hAnsiTheme="majorBidi" w:cstheme="majorBidi"/>
          <w:szCs w:val="22"/>
        </w:rPr>
        <w:t>riziko zvýšen</w:t>
      </w:r>
      <w:r>
        <w:rPr>
          <w:rFonts w:asciiTheme="majorBidi" w:hAnsiTheme="majorBidi" w:cstheme="majorBidi"/>
          <w:szCs w:val="22"/>
        </w:rPr>
        <w:t>é</w:t>
      </w:r>
      <w:r w:rsidRPr="00EC00B4">
        <w:rPr>
          <w:rFonts w:asciiTheme="majorBidi" w:hAnsiTheme="majorBidi" w:cstheme="majorBidi"/>
          <w:szCs w:val="22"/>
        </w:rPr>
        <w:t xml:space="preserve"> renální toxicity.</w:t>
      </w:r>
    </w:p>
    <w:p w14:paraId="40186F81" w14:textId="77777777" w:rsidR="00352654" w:rsidRPr="00EC00B4" w:rsidRDefault="00352654" w:rsidP="0035265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Vyhn</w:t>
      </w:r>
      <w:r>
        <w:rPr>
          <w:rFonts w:asciiTheme="majorBidi" w:hAnsiTheme="majorBidi" w:cstheme="majorBidi"/>
          <w:szCs w:val="22"/>
        </w:rPr>
        <w:t>ěte</w:t>
      </w:r>
      <w:r w:rsidRPr="00EC00B4">
        <w:rPr>
          <w:rFonts w:asciiTheme="majorBidi" w:hAnsiTheme="majorBidi" w:cstheme="majorBidi"/>
          <w:szCs w:val="22"/>
        </w:rPr>
        <w:t xml:space="preserve"> se současné</w:t>
      </w:r>
      <w:r>
        <w:rPr>
          <w:rFonts w:asciiTheme="majorBidi" w:hAnsiTheme="majorBidi" w:cstheme="majorBidi"/>
          <w:szCs w:val="22"/>
        </w:rPr>
        <w:t>mu podání</w:t>
      </w:r>
      <w:r w:rsidRPr="00EC00B4">
        <w:rPr>
          <w:rFonts w:asciiTheme="majorBidi" w:hAnsiTheme="majorBidi" w:cstheme="majorBidi"/>
          <w:szCs w:val="22"/>
        </w:rPr>
        <w:t xml:space="preserve"> potenciálně </w:t>
      </w:r>
      <w:proofErr w:type="spellStart"/>
      <w:r w:rsidRPr="00EC00B4">
        <w:rPr>
          <w:rFonts w:asciiTheme="majorBidi" w:hAnsiTheme="majorBidi" w:cstheme="majorBidi"/>
          <w:szCs w:val="22"/>
        </w:rPr>
        <w:t>nefrotoxických</w:t>
      </w:r>
      <w:proofErr w:type="spellEnd"/>
      <w:r w:rsidRPr="00EC00B4">
        <w:rPr>
          <w:rFonts w:asciiTheme="majorBidi" w:hAnsiTheme="majorBidi" w:cstheme="majorBidi"/>
          <w:szCs w:val="22"/>
        </w:rPr>
        <w:t xml:space="preserve"> l</w:t>
      </w:r>
      <w:r>
        <w:rPr>
          <w:rFonts w:asciiTheme="majorBidi" w:hAnsiTheme="majorBidi" w:cstheme="majorBidi"/>
          <w:szCs w:val="22"/>
        </w:rPr>
        <w:t>átek</w:t>
      </w:r>
      <w:r w:rsidRPr="00EC00B4">
        <w:rPr>
          <w:rFonts w:asciiTheme="majorBidi" w:hAnsiTheme="majorBidi" w:cstheme="majorBidi"/>
          <w:szCs w:val="22"/>
        </w:rPr>
        <w:t>.</w:t>
      </w:r>
    </w:p>
    <w:p w14:paraId="047A73B2" w14:textId="77777777" w:rsidR="00352654" w:rsidRPr="00EC00B4" w:rsidRDefault="00352654" w:rsidP="00352654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lastRenderedPageBreak/>
        <w:t>NSAID mohou způsobit inhibic</w:t>
      </w:r>
      <w:r>
        <w:rPr>
          <w:rFonts w:asciiTheme="majorBidi" w:hAnsiTheme="majorBidi" w:cstheme="majorBidi"/>
          <w:szCs w:val="22"/>
        </w:rPr>
        <w:t>i</w:t>
      </w:r>
      <w:r w:rsidRPr="00EC00B4">
        <w:rPr>
          <w:rFonts w:asciiTheme="majorBidi" w:hAnsiTheme="majorBidi" w:cstheme="majorBidi"/>
          <w:szCs w:val="22"/>
        </w:rPr>
        <w:t xml:space="preserve"> fagocytózy, a proto v případě léčby </w:t>
      </w:r>
      <w:r>
        <w:rPr>
          <w:rFonts w:asciiTheme="majorBidi" w:hAnsiTheme="majorBidi" w:cstheme="majorBidi"/>
          <w:szCs w:val="22"/>
        </w:rPr>
        <w:t>zánětu</w:t>
      </w:r>
      <w:r w:rsidRPr="00EC00B4">
        <w:rPr>
          <w:rFonts w:asciiTheme="majorBidi" w:hAnsiTheme="majorBidi" w:cstheme="majorBidi"/>
          <w:szCs w:val="22"/>
        </w:rPr>
        <w:t xml:space="preserve"> spojeného s bakteriální infekcí je nutné zvážit i současné použití antimikrobiální léčby.</w:t>
      </w:r>
    </w:p>
    <w:p w14:paraId="5097FF7B" w14:textId="77777777" w:rsidR="00DC3617" w:rsidRPr="00EC00B4" w:rsidRDefault="00DC3617" w:rsidP="00DC3617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  <w:u w:val="single"/>
        </w:rPr>
        <w:t>Zvláštní opatření pro osobu, která podává veterinární léčivý přípravek zvířatům</w:t>
      </w:r>
      <w:r w:rsidRPr="00EC00B4">
        <w:rPr>
          <w:rFonts w:asciiTheme="majorBidi" w:hAnsiTheme="majorBidi" w:cstheme="majorBidi"/>
          <w:szCs w:val="22"/>
        </w:rPr>
        <w:t>:</w:t>
      </w:r>
    </w:p>
    <w:p w14:paraId="7230E680" w14:textId="77777777" w:rsidR="00DC3617" w:rsidRPr="00EC00B4" w:rsidRDefault="00DC3617" w:rsidP="00DC3617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3AF2129" w14:textId="7EF58D43" w:rsidR="00DC3617" w:rsidRPr="00C75973" w:rsidRDefault="00DC3617" w:rsidP="0087398D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C00B4">
        <w:rPr>
          <w:rFonts w:asciiTheme="majorBidi" w:hAnsiTheme="majorBidi" w:cstheme="majorBidi"/>
          <w:szCs w:val="22"/>
        </w:rPr>
        <w:t>Žádné.</w:t>
      </w:r>
    </w:p>
    <w:p w14:paraId="1FFDAD58" w14:textId="2287C0E2" w:rsidR="007E727A" w:rsidRPr="00C75973" w:rsidRDefault="007E727A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8280924" w14:textId="77777777" w:rsidR="007E727A" w:rsidRPr="004203D4" w:rsidRDefault="007E727A" w:rsidP="007E727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203D4">
        <w:rPr>
          <w:szCs w:val="22"/>
          <w:u w:val="single"/>
        </w:rPr>
        <w:t>Březost a laktace</w:t>
      </w:r>
      <w:r w:rsidRPr="004203D4">
        <w:t>:</w:t>
      </w:r>
    </w:p>
    <w:p w14:paraId="5DB80FAD" w14:textId="77777777" w:rsidR="007E727A" w:rsidRPr="00C75973" w:rsidRDefault="007E727A" w:rsidP="007E727A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Nebyla stanovena bezpečnost veterinárního léčivého přípravku pro použití během březosti a laktace.</w:t>
      </w:r>
    </w:p>
    <w:p w14:paraId="276FF8F5" w14:textId="77777777" w:rsidR="00135E78" w:rsidRPr="00145347" w:rsidRDefault="00135E78" w:rsidP="00135E78">
      <w:pPr>
        <w:rPr>
          <w:szCs w:val="22"/>
        </w:rPr>
      </w:pPr>
      <w:r w:rsidRPr="00145347">
        <w:rPr>
          <w:szCs w:val="22"/>
        </w:rPr>
        <w:t>Nepoužívat během březosti a laktace.</w:t>
      </w:r>
    </w:p>
    <w:p w14:paraId="26D52343" w14:textId="77777777" w:rsidR="007E727A" w:rsidRDefault="007E727A" w:rsidP="007E727A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ACA7338" w14:textId="7C280858" w:rsidR="007E727A" w:rsidRPr="004203D4" w:rsidRDefault="007E727A" w:rsidP="007E727A">
      <w:pPr>
        <w:tabs>
          <w:tab w:val="clear" w:pos="567"/>
        </w:tabs>
        <w:spacing w:line="240" w:lineRule="auto"/>
        <w:rPr>
          <w:szCs w:val="22"/>
        </w:rPr>
      </w:pPr>
      <w:r w:rsidRPr="004203D4">
        <w:rPr>
          <w:szCs w:val="22"/>
          <w:u w:val="single"/>
        </w:rPr>
        <w:t>Předávkování</w:t>
      </w:r>
      <w:r w:rsidRPr="004203D4">
        <w:t>:</w:t>
      </w:r>
    </w:p>
    <w:p w14:paraId="23B31AFD" w14:textId="77777777" w:rsidR="007E727A" w:rsidRPr="00F85F46" w:rsidRDefault="007E727A" w:rsidP="007E727A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F85F46">
        <w:rPr>
          <w:rFonts w:asciiTheme="majorBidi" w:hAnsiTheme="majorBidi" w:cstheme="majorBidi"/>
          <w:szCs w:val="22"/>
        </w:rPr>
        <w:t xml:space="preserve">Neexistuje žádné specifické </w:t>
      </w:r>
      <w:proofErr w:type="spellStart"/>
      <w:r w:rsidRPr="00F85F46">
        <w:rPr>
          <w:rFonts w:asciiTheme="majorBidi" w:hAnsiTheme="majorBidi" w:cstheme="majorBidi"/>
          <w:szCs w:val="22"/>
        </w:rPr>
        <w:t>antidotum</w:t>
      </w:r>
      <w:proofErr w:type="spellEnd"/>
      <w:r w:rsidRPr="00F85F46">
        <w:rPr>
          <w:rFonts w:asciiTheme="majorBidi" w:hAnsiTheme="majorBidi" w:cstheme="majorBidi"/>
          <w:szCs w:val="22"/>
        </w:rPr>
        <w:t xml:space="preserve"> při předávkování </w:t>
      </w:r>
      <w:proofErr w:type="spellStart"/>
      <w:r w:rsidRPr="00F85F46">
        <w:rPr>
          <w:rFonts w:asciiTheme="majorBidi" w:hAnsiTheme="majorBidi" w:cstheme="majorBidi"/>
          <w:szCs w:val="22"/>
        </w:rPr>
        <w:t>karprofenem</w:t>
      </w:r>
      <w:proofErr w:type="spellEnd"/>
      <w:r w:rsidRPr="00F85F46">
        <w:rPr>
          <w:rFonts w:asciiTheme="majorBidi" w:hAnsiTheme="majorBidi" w:cstheme="majorBidi"/>
          <w:szCs w:val="22"/>
        </w:rPr>
        <w:t>; postupuje se podle všeobecných zásad podpůrné terapie při předávkování NSAID.</w:t>
      </w:r>
    </w:p>
    <w:p w14:paraId="291F281D" w14:textId="77777777" w:rsidR="007E727A" w:rsidRPr="00085FAE" w:rsidRDefault="007E727A" w:rsidP="007E727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03378A" w14:textId="59166F73" w:rsidR="00352654" w:rsidRPr="00EC00B4" w:rsidRDefault="007E727A" w:rsidP="00352654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4203D4">
        <w:rPr>
          <w:szCs w:val="22"/>
          <w:u w:val="single"/>
        </w:rPr>
        <w:t xml:space="preserve">Interakce s jinými léčivými přípravky a další formy </w:t>
      </w:r>
      <w:proofErr w:type="spellStart"/>
      <w:r w:rsidRPr="004203D4">
        <w:rPr>
          <w:szCs w:val="22"/>
          <w:u w:val="single"/>
        </w:rPr>
        <w:t>interakce</w:t>
      </w:r>
      <w:r w:rsidRPr="004203D4">
        <w:t>:</w:t>
      </w:r>
      <w:r w:rsidR="00352654" w:rsidRPr="00EC00B4">
        <w:rPr>
          <w:rFonts w:asciiTheme="majorBidi" w:hAnsiTheme="majorBidi" w:cstheme="majorBidi"/>
          <w:szCs w:val="22"/>
        </w:rPr>
        <w:t>U</w:t>
      </w:r>
      <w:proofErr w:type="spellEnd"/>
      <w:r w:rsidR="00352654" w:rsidRPr="00EC00B4">
        <w:rPr>
          <w:rFonts w:asciiTheme="majorBidi" w:hAnsiTheme="majorBidi" w:cstheme="majorBidi"/>
          <w:szCs w:val="22"/>
        </w:rPr>
        <w:t xml:space="preserve"> </w:t>
      </w:r>
      <w:proofErr w:type="spellStart"/>
      <w:r w:rsidR="00352654" w:rsidRPr="00EC00B4">
        <w:rPr>
          <w:rFonts w:asciiTheme="majorBidi" w:hAnsiTheme="majorBidi" w:cstheme="majorBidi"/>
          <w:szCs w:val="22"/>
        </w:rPr>
        <w:t>karprofenu</w:t>
      </w:r>
      <w:proofErr w:type="spellEnd"/>
      <w:r w:rsidR="00352654" w:rsidRPr="00EC00B4">
        <w:rPr>
          <w:rFonts w:asciiTheme="majorBidi" w:hAnsiTheme="majorBidi" w:cstheme="majorBidi"/>
          <w:szCs w:val="22"/>
        </w:rPr>
        <w:t xml:space="preserve"> nebyly popsány žádné významné lékové interakce. Akutní toxicita </w:t>
      </w:r>
      <w:proofErr w:type="spellStart"/>
      <w:r w:rsidR="00352654" w:rsidRPr="00EC00B4">
        <w:rPr>
          <w:rFonts w:asciiTheme="majorBidi" w:hAnsiTheme="majorBidi" w:cstheme="majorBidi"/>
          <w:szCs w:val="22"/>
        </w:rPr>
        <w:t>karprofenu</w:t>
      </w:r>
      <w:proofErr w:type="spellEnd"/>
      <w:r w:rsidR="00352654" w:rsidRPr="00EC00B4">
        <w:rPr>
          <w:rFonts w:asciiTheme="majorBidi" w:hAnsiTheme="majorBidi" w:cstheme="majorBidi"/>
          <w:szCs w:val="22"/>
        </w:rPr>
        <w:t xml:space="preserve"> u zvířat nebyla v testech s patnácti běžně používanými léčiv</w:t>
      </w:r>
      <w:r w:rsidR="00352654">
        <w:rPr>
          <w:rFonts w:asciiTheme="majorBidi" w:hAnsiTheme="majorBidi" w:cstheme="majorBidi"/>
          <w:szCs w:val="22"/>
        </w:rPr>
        <w:t>ými látkami</w:t>
      </w:r>
      <w:r w:rsidR="00352654" w:rsidRPr="00EC00B4">
        <w:rPr>
          <w:rFonts w:asciiTheme="majorBidi" w:hAnsiTheme="majorBidi" w:cstheme="majorBidi"/>
          <w:szCs w:val="22"/>
        </w:rPr>
        <w:t xml:space="preserve"> významně ovlivněn</w:t>
      </w:r>
      <w:r w:rsidR="00352654">
        <w:rPr>
          <w:rFonts w:asciiTheme="majorBidi" w:hAnsiTheme="majorBidi" w:cstheme="majorBidi"/>
          <w:szCs w:val="22"/>
        </w:rPr>
        <w:t>a</w:t>
      </w:r>
      <w:r w:rsidR="00352654" w:rsidRPr="00EC00B4">
        <w:rPr>
          <w:rFonts w:asciiTheme="majorBidi" w:hAnsiTheme="majorBidi" w:cstheme="majorBidi"/>
          <w:szCs w:val="22"/>
        </w:rPr>
        <w:t xml:space="preserve">. Byly to kyselina acetylsalicylová, amfetamin, atropin, </w:t>
      </w:r>
      <w:proofErr w:type="spellStart"/>
      <w:r w:rsidR="00352654" w:rsidRPr="00EC00B4">
        <w:rPr>
          <w:rFonts w:asciiTheme="majorBidi" w:hAnsiTheme="majorBidi" w:cstheme="majorBidi"/>
          <w:szCs w:val="22"/>
        </w:rPr>
        <w:t>chlórpomazin</w:t>
      </w:r>
      <w:proofErr w:type="spellEnd"/>
      <w:r w:rsidR="00352654" w:rsidRPr="00EC00B4">
        <w:rPr>
          <w:rFonts w:asciiTheme="majorBidi" w:hAnsiTheme="majorBidi" w:cstheme="majorBidi"/>
          <w:szCs w:val="22"/>
        </w:rPr>
        <w:t xml:space="preserve">, diazepam, </w:t>
      </w:r>
      <w:proofErr w:type="spellStart"/>
      <w:r w:rsidR="00352654" w:rsidRPr="00EC00B4">
        <w:rPr>
          <w:rFonts w:asciiTheme="majorBidi" w:hAnsiTheme="majorBidi" w:cstheme="majorBidi"/>
          <w:szCs w:val="22"/>
        </w:rPr>
        <w:t>difenyldramin</w:t>
      </w:r>
      <w:proofErr w:type="spellEnd"/>
      <w:r w:rsidR="00352654" w:rsidRPr="00EC00B4">
        <w:rPr>
          <w:rFonts w:asciiTheme="majorBidi" w:hAnsiTheme="majorBidi" w:cstheme="majorBidi"/>
          <w:szCs w:val="22"/>
        </w:rPr>
        <w:t xml:space="preserve">, etylalkohol, </w:t>
      </w:r>
      <w:proofErr w:type="spellStart"/>
      <w:r w:rsidR="00352654" w:rsidRPr="00EC00B4">
        <w:rPr>
          <w:rFonts w:asciiTheme="majorBidi" w:hAnsiTheme="majorBidi" w:cstheme="majorBidi"/>
          <w:szCs w:val="22"/>
        </w:rPr>
        <w:t>hydrochlórothiazid</w:t>
      </w:r>
      <w:proofErr w:type="spellEnd"/>
      <w:r w:rsidR="00352654"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="00352654" w:rsidRPr="00EC00B4">
        <w:rPr>
          <w:rFonts w:asciiTheme="majorBidi" w:hAnsiTheme="majorBidi" w:cstheme="majorBidi"/>
          <w:szCs w:val="22"/>
        </w:rPr>
        <w:t>imipramin</w:t>
      </w:r>
      <w:proofErr w:type="spellEnd"/>
      <w:r w:rsidR="00352654"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="00352654" w:rsidRPr="00EC00B4">
        <w:rPr>
          <w:rFonts w:asciiTheme="majorBidi" w:hAnsiTheme="majorBidi" w:cstheme="majorBidi"/>
          <w:szCs w:val="22"/>
        </w:rPr>
        <w:t>meperidin</w:t>
      </w:r>
      <w:proofErr w:type="spellEnd"/>
      <w:r w:rsidR="00352654"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="00352654" w:rsidRPr="00EC00B4">
        <w:rPr>
          <w:rFonts w:asciiTheme="majorBidi" w:hAnsiTheme="majorBidi" w:cstheme="majorBidi"/>
          <w:szCs w:val="22"/>
        </w:rPr>
        <w:t>propoxyphen</w:t>
      </w:r>
      <w:proofErr w:type="spellEnd"/>
      <w:r w:rsidR="00352654"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="00352654" w:rsidRPr="00EC00B4">
        <w:rPr>
          <w:rFonts w:asciiTheme="majorBidi" w:hAnsiTheme="majorBidi" w:cstheme="majorBidi"/>
          <w:szCs w:val="22"/>
        </w:rPr>
        <w:t>fentobarbital</w:t>
      </w:r>
      <w:proofErr w:type="spellEnd"/>
      <w:r w:rsidR="00352654" w:rsidRPr="00EC00B4">
        <w:rPr>
          <w:rFonts w:asciiTheme="majorBidi" w:hAnsiTheme="majorBidi" w:cstheme="majorBidi"/>
          <w:szCs w:val="22"/>
        </w:rPr>
        <w:t xml:space="preserve">, </w:t>
      </w:r>
      <w:proofErr w:type="spellStart"/>
      <w:r w:rsidR="00352654" w:rsidRPr="00EC00B4">
        <w:rPr>
          <w:rFonts w:asciiTheme="majorBidi" w:hAnsiTheme="majorBidi" w:cstheme="majorBidi"/>
          <w:szCs w:val="22"/>
        </w:rPr>
        <w:t>sulfisoxazol</w:t>
      </w:r>
      <w:proofErr w:type="spellEnd"/>
      <w:r w:rsidR="00352654" w:rsidRPr="00EC00B4">
        <w:rPr>
          <w:rFonts w:asciiTheme="majorBidi" w:hAnsiTheme="majorBidi" w:cstheme="majorBidi"/>
          <w:szCs w:val="22"/>
        </w:rPr>
        <w:t xml:space="preserve">, tetracyklin a </w:t>
      </w:r>
      <w:proofErr w:type="spellStart"/>
      <w:r w:rsidR="00352654" w:rsidRPr="00EC00B4">
        <w:rPr>
          <w:rFonts w:asciiTheme="majorBidi" w:hAnsiTheme="majorBidi" w:cstheme="majorBidi"/>
          <w:szCs w:val="22"/>
        </w:rPr>
        <w:t>tolbutamid</w:t>
      </w:r>
      <w:proofErr w:type="spellEnd"/>
      <w:r w:rsidR="00352654" w:rsidRPr="00EC00B4">
        <w:rPr>
          <w:rFonts w:asciiTheme="majorBidi" w:hAnsiTheme="majorBidi" w:cstheme="majorBidi"/>
          <w:szCs w:val="22"/>
        </w:rPr>
        <w:t xml:space="preserve">. </w:t>
      </w:r>
      <w:proofErr w:type="spellStart"/>
      <w:r w:rsidR="00352654" w:rsidRPr="00EC00B4">
        <w:rPr>
          <w:rFonts w:asciiTheme="majorBidi" w:hAnsiTheme="majorBidi" w:cstheme="majorBidi"/>
          <w:szCs w:val="22"/>
        </w:rPr>
        <w:t>Karprofen</w:t>
      </w:r>
      <w:proofErr w:type="spellEnd"/>
      <w:r w:rsidR="00352654" w:rsidRPr="00EC00B4">
        <w:rPr>
          <w:rFonts w:asciiTheme="majorBidi" w:hAnsiTheme="majorBidi" w:cstheme="majorBidi"/>
          <w:szCs w:val="22"/>
        </w:rPr>
        <w:t xml:space="preserve"> i </w:t>
      </w:r>
      <w:proofErr w:type="spellStart"/>
      <w:r w:rsidR="00352654" w:rsidRPr="00EC00B4">
        <w:rPr>
          <w:rFonts w:asciiTheme="majorBidi" w:hAnsiTheme="majorBidi" w:cstheme="majorBidi"/>
          <w:szCs w:val="22"/>
        </w:rPr>
        <w:t>warfarin</w:t>
      </w:r>
      <w:proofErr w:type="spellEnd"/>
      <w:r w:rsidR="00352654" w:rsidRPr="00EC00B4">
        <w:rPr>
          <w:rFonts w:asciiTheme="majorBidi" w:hAnsiTheme="majorBidi" w:cstheme="majorBidi"/>
          <w:szCs w:val="22"/>
        </w:rPr>
        <w:t xml:space="preserve"> mohou být vázané na plazmatické </w:t>
      </w:r>
      <w:r w:rsidR="00352654">
        <w:rPr>
          <w:rFonts w:asciiTheme="majorBidi" w:hAnsiTheme="majorBidi" w:cstheme="majorBidi"/>
          <w:szCs w:val="22"/>
        </w:rPr>
        <w:t>bílkovi</w:t>
      </w:r>
      <w:r w:rsidR="00352654" w:rsidRPr="00EC00B4">
        <w:rPr>
          <w:rFonts w:asciiTheme="majorBidi" w:hAnsiTheme="majorBidi" w:cstheme="majorBidi"/>
          <w:szCs w:val="22"/>
        </w:rPr>
        <w:t>ny. Mohou být použit</w:t>
      </w:r>
      <w:r w:rsidR="00352654">
        <w:rPr>
          <w:rFonts w:asciiTheme="majorBidi" w:hAnsiTheme="majorBidi" w:cstheme="majorBidi"/>
          <w:szCs w:val="22"/>
        </w:rPr>
        <w:t>y</w:t>
      </w:r>
      <w:r w:rsidR="00352654" w:rsidRPr="00EC00B4">
        <w:rPr>
          <w:rFonts w:asciiTheme="majorBidi" w:hAnsiTheme="majorBidi" w:cstheme="majorBidi"/>
          <w:szCs w:val="22"/>
        </w:rPr>
        <w:t xml:space="preserve"> současně za předpokladu, že klinický stav je </w:t>
      </w:r>
      <w:r w:rsidR="00352654">
        <w:rPr>
          <w:rFonts w:asciiTheme="majorBidi" w:hAnsiTheme="majorBidi" w:cstheme="majorBidi"/>
          <w:szCs w:val="22"/>
        </w:rPr>
        <w:t>pečlivě sledován</w:t>
      </w:r>
      <w:r w:rsidR="00352654" w:rsidRPr="00EC00B4">
        <w:rPr>
          <w:rFonts w:asciiTheme="majorBidi" w:hAnsiTheme="majorBidi" w:cstheme="majorBidi"/>
          <w:szCs w:val="22"/>
        </w:rPr>
        <w:t xml:space="preserve">, protože bylo </w:t>
      </w:r>
      <w:r w:rsidR="00352654">
        <w:rPr>
          <w:rFonts w:asciiTheme="majorBidi" w:hAnsiTheme="majorBidi" w:cstheme="majorBidi"/>
          <w:szCs w:val="22"/>
        </w:rPr>
        <w:t>pr</w:t>
      </w:r>
      <w:r w:rsidR="00352654" w:rsidRPr="00EC00B4">
        <w:rPr>
          <w:rFonts w:asciiTheme="majorBidi" w:hAnsiTheme="majorBidi" w:cstheme="majorBidi"/>
          <w:szCs w:val="22"/>
        </w:rPr>
        <w:t>okázáno, že se vážou na dvě odlišná místa lidského a bovinního sérového albuminu.</w:t>
      </w:r>
    </w:p>
    <w:p w14:paraId="7AC64372" w14:textId="2150AA94" w:rsidR="007E727A" w:rsidRPr="00B22FC6" w:rsidRDefault="00352654" w:rsidP="007E727A">
      <w:pPr>
        <w:ind w:left="709" w:hanging="709"/>
        <w:jc w:val="both"/>
        <w:rPr>
          <w:b/>
          <w:bCs/>
          <w:szCs w:val="22"/>
        </w:rPr>
      </w:pPr>
      <w:r w:rsidRPr="00F85F46" w:rsidDel="00352654">
        <w:rPr>
          <w:rFonts w:asciiTheme="majorBidi" w:hAnsiTheme="majorBidi" w:cstheme="majorBidi"/>
          <w:szCs w:val="22"/>
        </w:rPr>
        <w:t xml:space="preserve"> </w:t>
      </w:r>
    </w:p>
    <w:p w14:paraId="2316534B" w14:textId="77777777" w:rsidR="007E727A" w:rsidRPr="004203D4" w:rsidRDefault="007E727A" w:rsidP="007E727A">
      <w:pPr>
        <w:ind w:left="709" w:hanging="709"/>
        <w:jc w:val="both"/>
        <w:rPr>
          <w:u w:val="single"/>
        </w:rPr>
      </w:pPr>
      <w:r w:rsidRPr="004203D4">
        <w:rPr>
          <w:u w:val="single"/>
        </w:rPr>
        <w:t>Hlavní inkompatibility:</w:t>
      </w:r>
    </w:p>
    <w:p w14:paraId="2A8626DC" w14:textId="5745A162" w:rsidR="007E727A" w:rsidRPr="00085FAE" w:rsidRDefault="007E727A" w:rsidP="007E727A">
      <w:pPr>
        <w:ind w:left="709" w:hanging="709"/>
        <w:jc w:val="both"/>
        <w:rPr>
          <w:szCs w:val="22"/>
        </w:rPr>
      </w:pPr>
      <w:r w:rsidRPr="004203D4">
        <w:t>Nejsou známy.</w:t>
      </w:r>
    </w:p>
    <w:p w14:paraId="5A063454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B1250C2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7.</w:t>
      </w:r>
      <w:r w:rsidRPr="00C75973">
        <w:rPr>
          <w:rFonts w:asciiTheme="majorBidi" w:hAnsiTheme="majorBidi" w:cstheme="majorBidi"/>
        </w:rPr>
        <w:tab/>
        <w:t>Nežádoucí účinky</w:t>
      </w:r>
    </w:p>
    <w:p w14:paraId="48B0FEF0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49311C92" w14:textId="2EACC2CA" w:rsidR="000F3A0B" w:rsidRDefault="00EE0346" w:rsidP="00C75973">
      <w:pPr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Psi</w:t>
      </w:r>
      <w:r w:rsidR="003A5EFD">
        <w:rPr>
          <w:rFonts w:asciiTheme="majorBidi" w:hAnsiTheme="majorBidi" w:cstheme="majorBidi"/>
          <w:szCs w:val="22"/>
        </w:rPr>
        <w:t>:</w:t>
      </w:r>
    </w:p>
    <w:p w14:paraId="065EB46D" w14:textId="77777777" w:rsidR="003A5EFD" w:rsidRDefault="003A5EFD" w:rsidP="003A5EFD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814"/>
      </w:tblGrid>
      <w:tr w:rsidR="003A5EFD" w:rsidRPr="00B41D57" w14:paraId="533B2C23" w14:textId="77777777" w:rsidTr="00F607F2">
        <w:tc>
          <w:tcPr>
            <w:tcW w:w="2344" w:type="pct"/>
          </w:tcPr>
          <w:p w14:paraId="7A3C7251" w14:textId="77777777" w:rsidR="003A5EFD" w:rsidRPr="00B41D57" w:rsidRDefault="003A5EFD" w:rsidP="00F607F2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  <w:r>
              <w:t xml:space="preserve"> </w:t>
            </w:r>
            <w:r w:rsidRPr="00B41D57">
              <w:t>(1 až 10 zvířat / 10 000 ošetřených zvířat):</w:t>
            </w:r>
          </w:p>
        </w:tc>
        <w:tc>
          <w:tcPr>
            <w:tcW w:w="2656" w:type="pct"/>
          </w:tcPr>
          <w:p w14:paraId="7BFA7A85" w14:textId="77777777" w:rsidR="003A5EFD" w:rsidRPr="00B41D57" w:rsidRDefault="003A5EFD" w:rsidP="00F607F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</w:t>
            </w:r>
            <w:r w:rsidRPr="00D265DB">
              <w:rPr>
                <w:iCs/>
                <w:szCs w:val="22"/>
              </w:rPr>
              <w:t>orucha jater</w:t>
            </w:r>
            <w:r w:rsidRPr="00F607F2">
              <w:rPr>
                <w:iCs/>
                <w:szCs w:val="22"/>
                <w:vertAlign w:val="superscript"/>
              </w:rPr>
              <w:t>1,2</w:t>
            </w:r>
            <w:r w:rsidRPr="00D265DB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p</w:t>
            </w:r>
            <w:r w:rsidRPr="00D265DB">
              <w:rPr>
                <w:iCs/>
                <w:szCs w:val="22"/>
              </w:rPr>
              <w:t>orucha ledvin</w:t>
            </w:r>
            <w:r w:rsidRPr="00F607F2">
              <w:rPr>
                <w:iCs/>
                <w:szCs w:val="22"/>
                <w:vertAlign w:val="superscript"/>
              </w:rPr>
              <w:t>1,2</w:t>
            </w:r>
          </w:p>
        </w:tc>
      </w:tr>
      <w:tr w:rsidR="00352654" w:rsidRPr="00B41D57" w14:paraId="27FAFCD3" w14:textId="77777777" w:rsidTr="00F607F2">
        <w:tc>
          <w:tcPr>
            <w:tcW w:w="2344" w:type="pct"/>
          </w:tcPr>
          <w:p w14:paraId="2019233E" w14:textId="4AF3A286" w:rsidR="00352654" w:rsidRPr="00B41D57" w:rsidRDefault="00352654" w:rsidP="00352654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  <w:r>
              <w:t xml:space="preserve"> </w:t>
            </w:r>
            <w:r w:rsidRPr="001B7B38">
              <w:t>(&lt;1 zvíře</w:t>
            </w:r>
            <w:r w:rsidRPr="00B41D57">
              <w:t xml:space="preserve"> / 10</w:t>
            </w:r>
            <w:r>
              <w:t xml:space="preserve"> </w:t>
            </w:r>
            <w:r w:rsidRPr="00B41D57">
              <w:t>000 ošetřených zvířat, včetně ojedinělých hlášení):</w:t>
            </w:r>
          </w:p>
        </w:tc>
        <w:tc>
          <w:tcPr>
            <w:tcW w:w="2656" w:type="pct"/>
            <w:hideMark/>
          </w:tcPr>
          <w:p w14:paraId="7E7CEEE6" w14:textId="77777777" w:rsidR="00352654" w:rsidRDefault="00352654" w:rsidP="0035265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</w:t>
            </w:r>
            <w:r w:rsidRPr="006A4DBE">
              <w:rPr>
                <w:iCs/>
                <w:szCs w:val="22"/>
              </w:rPr>
              <w:t xml:space="preserve">rev </w:t>
            </w:r>
            <w:r>
              <w:rPr>
                <w:iCs/>
                <w:szCs w:val="22"/>
              </w:rPr>
              <w:t>v trusu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>, průjem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>, gastrointestinální</w:t>
            </w:r>
          </w:p>
          <w:p w14:paraId="19E5EFB5" w14:textId="77777777" w:rsidR="00352654" w:rsidRDefault="00352654" w:rsidP="00352654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6A4DBE">
              <w:rPr>
                <w:iCs/>
                <w:szCs w:val="22"/>
              </w:rPr>
              <w:t>ulcerace</w:t>
            </w:r>
            <w:r w:rsidRPr="00F607F2">
              <w:rPr>
                <w:iCs/>
                <w:szCs w:val="22"/>
                <w:vertAlign w:val="superscript"/>
              </w:rPr>
              <w:t>2</w:t>
            </w:r>
            <w:r w:rsidRPr="006A4DBE">
              <w:rPr>
                <w:iCs/>
                <w:szCs w:val="22"/>
              </w:rPr>
              <w:t>, měkk</w:t>
            </w:r>
            <w:r>
              <w:rPr>
                <w:iCs/>
                <w:szCs w:val="22"/>
              </w:rPr>
              <w:t>ý trus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>, zvracení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</w:p>
          <w:p w14:paraId="2E30FA31" w14:textId="189E5236" w:rsidR="00352654" w:rsidRPr="00B41D57" w:rsidRDefault="00352654" w:rsidP="0035265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Pr="006A4DBE">
              <w:rPr>
                <w:iCs/>
                <w:szCs w:val="22"/>
              </w:rPr>
              <w:t>tráta chuti k</w:t>
            </w:r>
            <w:r>
              <w:rPr>
                <w:iCs/>
                <w:szCs w:val="22"/>
              </w:rPr>
              <w:t> příjmu krmiva</w:t>
            </w:r>
            <w:r w:rsidRPr="006A4DBE">
              <w:rPr>
                <w:iCs/>
                <w:szCs w:val="22"/>
              </w:rPr>
              <w:t xml:space="preserve"> 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  <w:r w:rsidRPr="006A4DBE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l</w:t>
            </w:r>
            <w:r w:rsidRPr="006A4DBE">
              <w:rPr>
                <w:iCs/>
                <w:szCs w:val="22"/>
              </w:rPr>
              <w:t>etargie</w:t>
            </w:r>
            <w:r w:rsidRPr="00F607F2">
              <w:rPr>
                <w:iCs/>
                <w:szCs w:val="22"/>
                <w:vertAlign w:val="superscript"/>
              </w:rPr>
              <w:t>2,3</w:t>
            </w:r>
          </w:p>
        </w:tc>
      </w:tr>
    </w:tbl>
    <w:p w14:paraId="62C1E804" w14:textId="3CE8FD95" w:rsidR="003A5EFD" w:rsidRPr="000609EB" w:rsidRDefault="003A5EFD" w:rsidP="003A5EFD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607F2">
        <w:rPr>
          <w:rFonts w:asciiTheme="majorBidi" w:hAnsiTheme="majorBidi" w:cstheme="majorBidi"/>
          <w:szCs w:val="22"/>
          <w:vertAlign w:val="superscript"/>
        </w:rPr>
        <w:t xml:space="preserve">1 </w:t>
      </w:r>
      <w:r w:rsidR="004F6674">
        <w:rPr>
          <w:rFonts w:asciiTheme="majorBidi" w:hAnsiTheme="majorBidi" w:cstheme="majorBidi"/>
          <w:szCs w:val="22"/>
        </w:rPr>
        <w:t>Hlášené jako i</w:t>
      </w:r>
      <w:r w:rsidR="004F6674" w:rsidRPr="000609EB">
        <w:rPr>
          <w:rFonts w:asciiTheme="majorBidi" w:hAnsiTheme="majorBidi" w:cstheme="majorBidi"/>
          <w:szCs w:val="22"/>
        </w:rPr>
        <w:t>diosynkratick</w:t>
      </w:r>
      <w:r w:rsidR="004F6674">
        <w:rPr>
          <w:rFonts w:asciiTheme="majorBidi" w:hAnsiTheme="majorBidi" w:cstheme="majorBidi"/>
          <w:szCs w:val="22"/>
        </w:rPr>
        <w:t>ý</w:t>
      </w:r>
      <w:r w:rsidR="004F6674" w:rsidRPr="000609EB">
        <w:rPr>
          <w:rFonts w:asciiTheme="majorBidi" w:hAnsiTheme="majorBidi" w:cstheme="majorBidi"/>
          <w:szCs w:val="22"/>
        </w:rPr>
        <w:t xml:space="preserve"> </w:t>
      </w:r>
      <w:r w:rsidR="004F6674">
        <w:rPr>
          <w:rFonts w:asciiTheme="majorBidi" w:hAnsiTheme="majorBidi" w:cstheme="majorBidi"/>
          <w:szCs w:val="22"/>
        </w:rPr>
        <w:t>nežádoucí účinek.</w:t>
      </w:r>
    </w:p>
    <w:p w14:paraId="43EED897" w14:textId="77777777" w:rsidR="003A5EFD" w:rsidRPr="000609EB" w:rsidRDefault="003A5EFD" w:rsidP="003A5EFD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607F2">
        <w:rPr>
          <w:rFonts w:asciiTheme="majorBidi" w:hAnsiTheme="majorBidi" w:cstheme="majorBidi"/>
          <w:szCs w:val="22"/>
          <w:vertAlign w:val="superscript"/>
        </w:rPr>
        <w:t>2</w:t>
      </w:r>
      <w:r w:rsidRPr="000609EB">
        <w:rPr>
          <w:rFonts w:asciiTheme="majorBidi" w:hAnsiTheme="majorBidi" w:cstheme="majorBidi"/>
          <w:szCs w:val="22"/>
        </w:rPr>
        <w:t xml:space="preserve"> Typické nežádoucí účinky spojené s NSAID.</w:t>
      </w:r>
    </w:p>
    <w:p w14:paraId="3CF7EB5A" w14:textId="375E6C05" w:rsidR="003A5EFD" w:rsidRPr="00C75973" w:rsidRDefault="003A5EFD" w:rsidP="003A5EFD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607F2">
        <w:rPr>
          <w:rFonts w:asciiTheme="majorBidi" w:hAnsiTheme="majorBidi" w:cstheme="majorBidi"/>
          <w:szCs w:val="22"/>
          <w:vertAlign w:val="superscript"/>
        </w:rPr>
        <w:t xml:space="preserve">3 </w:t>
      </w:r>
      <w:r w:rsidRPr="000609EB">
        <w:rPr>
          <w:rFonts w:asciiTheme="majorBidi" w:hAnsiTheme="majorBidi" w:cstheme="majorBidi"/>
          <w:szCs w:val="22"/>
        </w:rPr>
        <w:t>Vyskytují se během prvního týdne léčby a ve většině případů jsou přechodné a po ukončení léčby vymizí, a</w:t>
      </w:r>
      <w:r w:rsidR="00EA2E9E">
        <w:rPr>
          <w:rFonts w:asciiTheme="majorBidi" w:hAnsiTheme="majorBidi" w:cstheme="majorBidi"/>
          <w:szCs w:val="22"/>
        </w:rPr>
        <w:t>však</w:t>
      </w:r>
      <w:r w:rsidRPr="000609EB">
        <w:rPr>
          <w:rFonts w:asciiTheme="majorBidi" w:hAnsiTheme="majorBidi" w:cstheme="majorBidi"/>
          <w:szCs w:val="22"/>
        </w:rPr>
        <w:t xml:space="preserve"> ve velmi vzácných případech mohou být závažné nebo fatální. Pokud se nežádoucí účinky vyskytnou, je třeba léčbu přerušit a poradit se s veterinárním lékařem.</w:t>
      </w:r>
    </w:p>
    <w:p w14:paraId="0051D486" w14:textId="77777777" w:rsidR="003A5EFD" w:rsidRPr="00F30757" w:rsidRDefault="003A5EFD" w:rsidP="00C75973">
      <w:pPr>
        <w:spacing w:line="240" w:lineRule="auto"/>
        <w:rPr>
          <w:rFonts w:asciiTheme="majorBidi" w:hAnsiTheme="majorBidi" w:cstheme="majorBidi"/>
          <w:b/>
          <w:bCs/>
          <w:szCs w:val="22"/>
        </w:rPr>
      </w:pPr>
    </w:p>
    <w:p w14:paraId="34E98BC9" w14:textId="7A889F08" w:rsidR="00352654" w:rsidRDefault="00EE0346" w:rsidP="003848EC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003025">
        <w:rPr>
          <w:rFonts w:asciiTheme="majorBidi" w:hAnsiTheme="majorBidi" w:cstheme="majorBidi"/>
          <w:szCs w:val="22"/>
        </w:rPr>
        <w:t>i</w:t>
      </w:r>
      <w:r w:rsidRPr="00C75973">
        <w:rPr>
          <w:rFonts w:asciiTheme="majorBidi" w:hAnsiTheme="majorBidi" w:cstheme="majorBidi"/>
          <w:szCs w:val="22"/>
        </w:rPr>
        <w:t xml:space="preserve"> rozhodnutí o registraci s využitím kontaktních údajů uvedených na konci této příbalové informace nebo prostřednictvím národního systému hlášení nežádoucích účinků: </w:t>
      </w:r>
    </w:p>
    <w:p w14:paraId="06BAFA8B" w14:textId="501446B6" w:rsidR="003848EC" w:rsidRPr="004203D4" w:rsidRDefault="003848EC" w:rsidP="003848EC">
      <w:pPr>
        <w:tabs>
          <w:tab w:val="clear" w:pos="567"/>
        </w:tabs>
        <w:spacing w:line="240" w:lineRule="auto"/>
        <w:jc w:val="both"/>
      </w:pPr>
      <w:r w:rsidRPr="004203D4">
        <w:t xml:space="preserve">Ústav pro státní kontrolu veterinárních biopreparátů a léčiv </w:t>
      </w:r>
    </w:p>
    <w:p w14:paraId="4E2A4CEF" w14:textId="77777777" w:rsidR="003848EC" w:rsidRPr="004203D4" w:rsidRDefault="003848EC" w:rsidP="003848EC">
      <w:pPr>
        <w:tabs>
          <w:tab w:val="clear" w:pos="567"/>
        </w:tabs>
        <w:spacing w:line="240" w:lineRule="auto"/>
        <w:jc w:val="both"/>
      </w:pPr>
      <w:r w:rsidRPr="004203D4">
        <w:t xml:space="preserve">Hudcova 232/56 a </w:t>
      </w:r>
    </w:p>
    <w:p w14:paraId="47D64DA2" w14:textId="77777777" w:rsidR="003848EC" w:rsidRPr="004203D4" w:rsidRDefault="003848EC" w:rsidP="003848EC">
      <w:pPr>
        <w:tabs>
          <w:tab w:val="clear" w:pos="567"/>
        </w:tabs>
        <w:spacing w:line="240" w:lineRule="auto"/>
        <w:jc w:val="both"/>
      </w:pPr>
      <w:r w:rsidRPr="004203D4">
        <w:t>621 00 Brno</w:t>
      </w:r>
    </w:p>
    <w:p w14:paraId="036D0D68" w14:textId="77777777" w:rsidR="003848EC" w:rsidRPr="004203D4" w:rsidRDefault="003848EC" w:rsidP="003848EC">
      <w:pPr>
        <w:tabs>
          <w:tab w:val="clear" w:pos="567"/>
        </w:tabs>
        <w:spacing w:line="240" w:lineRule="auto"/>
        <w:jc w:val="both"/>
      </w:pPr>
      <w:r w:rsidRPr="004203D4">
        <w:t>E-mail: adr@uskvbl.cz</w:t>
      </w:r>
    </w:p>
    <w:p w14:paraId="09A80230" w14:textId="77777777" w:rsidR="003848EC" w:rsidRPr="004F54BD" w:rsidRDefault="003848EC" w:rsidP="003848EC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4203D4">
        <w:t xml:space="preserve">Webové stránky: </w:t>
      </w:r>
      <w:hyperlink r:id="rId8" w:history="1">
        <w:r w:rsidRPr="004203D4">
          <w:rPr>
            <w:rStyle w:val="Hypertextovodkaz"/>
          </w:rPr>
          <w:t>http://www.uskvbl.cz/cs/farmakovigilance</w:t>
        </w:r>
      </w:hyperlink>
      <w:r w:rsidRPr="004203D4">
        <w:t xml:space="preserve">  </w:t>
      </w:r>
    </w:p>
    <w:p w14:paraId="5642D390" w14:textId="6649E71F" w:rsidR="000F3A0B" w:rsidRPr="00C75973" w:rsidRDefault="000F3A0B" w:rsidP="00C75973">
      <w:pPr>
        <w:spacing w:line="240" w:lineRule="auto"/>
        <w:rPr>
          <w:rFonts w:asciiTheme="majorBidi" w:hAnsiTheme="majorBidi" w:cstheme="majorBidi"/>
          <w:szCs w:val="22"/>
        </w:rPr>
      </w:pPr>
    </w:p>
    <w:p w14:paraId="3AED966E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8.</w:t>
      </w:r>
      <w:r w:rsidRPr="00C75973">
        <w:rPr>
          <w:rFonts w:asciiTheme="majorBidi" w:hAnsiTheme="majorBidi" w:cstheme="majorBidi"/>
        </w:rPr>
        <w:tab/>
        <w:t>Dávkování pro každý druh, cesty a způsob podání</w:t>
      </w:r>
    </w:p>
    <w:p w14:paraId="47B0C916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3D3E469" w14:textId="77777777" w:rsidR="00352654" w:rsidRDefault="00EE0346" w:rsidP="00C75973">
      <w:pPr>
        <w:spacing w:line="240" w:lineRule="auto"/>
        <w:ind w:right="17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 xml:space="preserve">Perorální podání. </w:t>
      </w:r>
    </w:p>
    <w:p w14:paraId="641F23A3" w14:textId="7EA4656C" w:rsidR="000F3A0B" w:rsidRPr="00C75973" w:rsidRDefault="00EE0346" w:rsidP="00C75973">
      <w:pPr>
        <w:spacing w:line="240" w:lineRule="auto"/>
        <w:ind w:right="17"/>
        <w:rPr>
          <w:rFonts w:asciiTheme="majorBidi" w:hAnsiTheme="majorBidi" w:cstheme="majorBidi"/>
          <w:szCs w:val="22"/>
        </w:rPr>
      </w:pPr>
      <w:proofErr w:type="spellStart"/>
      <w:r w:rsidRPr="00C75973">
        <w:rPr>
          <w:rFonts w:asciiTheme="majorBidi" w:hAnsiTheme="majorBidi" w:cstheme="majorBidi"/>
          <w:szCs w:val="22"/>
        </w:rPr>
        <w:t>Rimadyl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C75973">
        <w:rPr>
          <w:rFonts w:asciiTheme="majorBidi" w:hAnsiTheme="majorBidi" w:cstheme="majorBidi"/>
          <w:szCs w:val="22"/>
        </w:rPr>
        <w:t>Palatable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tablety jsou ochucené a spontánně přijímané většinou psů. </w:t>
      </w:r>
    </w:p>
    <w:p w14:paraId="386FB99C" w14:textId="447D9A99" w:rsidR="000F3A0B" w:rsidRPr="00C75973" w:rsidRDefault="00EE0346" w:rsidP="00C75973">
      <w:pPr>
        <w:spacing w:line="240" w:lineRule="auto"/>
        <w:ind w:right="17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 xml:space="preserve">Počáteční denní dávka 2 až 4 mg </w:t>
      </w:r>
      <w:proofErr w:type="spellStart"/>
      <w:r w:rsidRPr="00C75973">
        <w:rPr>
          <w:rFonts w:asciiTheme="majorBidi" w:hAnsiTheme="majorBidi" w:cstheme="majorBidi"/>
          <w:szCs w:val="22"/>
        </w:rPr>
        <w:t>karprofenu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/ kg ž.hm. se může podat naráz nebo se může rozdělit na dvě stejné dávky. V závislosti na klinické odezvě může být po 7 dnech táto dávka redukovaná na 2 mg </w:t>
      </w:r>
      <w:proofErr w:type="spellStart"/>
      <w:r w:rsidRPr="00C75973">
        <w:rPr>
          <w:rFonts w:asciiTheme="majorBidi" w:hAnsiTheme="majorBidi" w:cstheme="majorBidi"/>
          <w:szCs w:val="22"/>
        </w:rPr>
        <w:t>karprofenu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/ kg ž.hm. / den, podaná v jediné denní dávce.</w:t>
      </w:r>
      <w:r w:rsidR="00DC3617">
        <w:rPr>
          <w:rFonts w:asciiTheme="majorBidi" w:hAnsiTheme="majorBidi" w:cstheme="majorBidi"/>
          <w:szCs w:val="22"/>
        </w:rPr>
        <w:t xml:space="preserve"> </w:t>
      </w:r>
      <w:r w:rsidRPr="00C75973">
        <w:rPr>
          <w:rFonts w:asciiTheme="majorBidi" w:hAnsiTheme="majorBidi" w:cstheme="majorBidi"/>
          <w:szCs w:val="22"/>
        </w:rPr>
        <w:t>Délka léčby je závislá na klinické odezvě. Dlouhodobá léčba by měla být pod pravidelnou kontrolou veterinárního lékaře.</w:t>
      </w:r>
    </w:p>
    <w:p w14:paraId="3130664C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D17F12D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9.</w:t>
      </w:r>
      <w:r w:rsidRPr="00C75973">
        <w:rPr>
          <w:rFonts w:asciiTheme="majorBidi" w:hAnsiTheme="majorBidi" w:cstheme="majorBidi"/>
        </w:rPr>
        <w:tab/>
        <w:t>Informace o správném podávání</w:t>
      </w:r>
    </w:p>
    <w:p w14:paraId="1A8C3839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0559357" w14:textId="77777777" w:rsidR="000F3A0B" w:rsidRPr="00C75973" w:rsidRDefault="00EE0346" w:rsidP="00C75973">
      <w:pPr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Žádné.</w:t>
      </w:r>
    </w:p>
    <w:p w14:paraId="728572EE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0496FAD1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10.</w:t>
      </w:r>
      <w:r w:rsidRPr="00C75973">
        <w:rPr>
          <w:rFonts w:asciiTheme="majorBidi" w:hAnsiTheme="majorBidi" w:cstheme="majorBidi"/>
        </w:rPr>
        <w:tab/>
        <w:t>Ochranné lhůty</w:t>
      </w:r>
    </w:p>
    <w:p w14:paraId="2F20DC33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46210265" w14:textId="2BDF8DF6" w:rsidR="00C767E8" w:rsidRPr="00C75973" w:rsidRDefault="00C767E8" w:rsidP="00C75973">
      <w:pPr>
        <w:spacing w:line="240" w:lineRule="auto"/>
        <w:rPr>
          <w:rFonts w:asciiTheme="majorBidi" w:hAnsiTheme="majorBidi" w:cstheme="majorBidi"/>
          <w:szCs w:val="22"/>
        </w:rPr>
      </w:pPr>
      <w:r w:rsidRPr="00B22FC6">
        <w:rPr>
          <w:rFonts w:asciiTheme="majorBidi" w:hAnsiTheme="majorBidi" w:cstheme="majorBidi"/>
          <w:szCs w:val="22"/>
        </w:rPr>
        <w:t>Neuplatňuje se.</w:t>
      </w:r>
    </w:p>
    <w:p w14:paraId="601830BF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41647267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11.</w:t>
      </w:r>
      <w:r w:rsidRPr="00C75973">
        <w:rPr>
          <w:rFonts w:asciiTheme="majorBidi" w:hAnsiTheme="majorBidi" w:cstheme="majorBidi"/>
        </w:rPr>
        <w:tab/>
        <w:t>Zvláštní opatření pro uchovávání</w:t>
      </w:r>
    </w:p>
    <w:p w14:paraId="4585BD5F" w14:textId="77777777" w:rsidR="000F3A0B" w:rsidRPr="00C75973" w:rsidRDefault="000F3A0B" w:rsidP="00C75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6BECB31" w14:textId="77777777" w:rsidR="000F3A0B" w:rsidRPr="00C75973" w:rsidRDefault="00EE0346" w:rsidP="00C75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Uchovávejte mimo dohled a dosah dětí.</w:t>
      </w:r>
    </w:p>
    <w:p w14:paraId="3A799743" w14:textId="77777777" w:rsidR="000F3A0B" w:rsidRPr="00C75973" w:rsidRDefault="00EE0346" w:rsidP="00C75973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 xml:space="preserve">Uchovávejte při teplotě do 25 </w:t>
      </w:r>
      <w:r w:rsidRPr="00C75973">
        <w:rPr>
          <w:rFonts w:asciiTheme="majorBidi" w:hAnsiTheme="majorBidi" w:cstheme="majorBidi"/>
          <w:szCs w:val="22"/>
        </w:rPr>
        <w:sym w:font="Symbol" w:char="F0B0"/>
      </w:r>
      <w:r w:rsidRPr="00C75973">
        <w:rPr>
          <w:rFonts w:asciiTheme="majorBidi" w:hAnsiTheme="majorBidi" w:cstheme="majorBidi"/>
          <w:szCs w:val="22"/>
        </w:rPr>
        <w:t>C.</w:t>
      </w:r>
    </w:p>
    <w:p w14:paraId="65ACC865" w14:textId="77777777" w:rsidR="000F3A0B" w:rsidRPr="00C75973" w:rsidRDefault="00EE0346" w:rsidP="00C75973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Chraňte před světlem.</w:t>
      </w:r>
    </w:p>
    <w:p w14:paraId="3090A97A" w14:textId="77777777" w:rsidR="000F3A0B" w:rsidRPr="00C75973" w:rsidRDefault="00EE0346" w:rsidP="00C75973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Uchovávejte v suchu.</w:t>
      </w:r>
    </w:p>
    <w:p w14:paraId="38C27E8B" w14:textId="77777777" w:rsidR="000F3A0B" w:rsidRDefault="000F3A0B" w:rsidP="00C75973">
      <w:pPr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6A675B4B" w14:textId="77777777" w:rsidR="00226A98" w:rsidRPr="00C75973" w:rsidRDefault="00226A98" w:rsidP="00226A98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Doba použitelnosti veterinárního léčivého přípravku v neporušeném obalu: 3 roky</w:t>
      </w:r>
    </w:p>
    <w:p w14:paraId="59DD1826" w14:textId="77777777" w:rsidR="00200446" w:rsidRDefault="00EE0346" w:rsidP="00200446">
      <w:pPr>
        <w:spacing w:line="240" w:lineRule="auto"/>
        <w:rPr>
          <w:szCs w:val="22"/>
        </w:rPr>
      </w:pPr>
      <w:r w:rsidRPr="00C75973">
        <w:rPr>
          <w:rFonts w:asciiTheme="majorBidi" w:hAnsiTheme="majorBidi" w:cstheme="majorBidi"/>
          <w:szCs w:val="22"/>
        </w:rPr>
        <w:t xml:space="preserve">Nepoužívejte </w:t>
      </w:r>
      <w:r w:rsidR="008E4230" w:rsidRPr="00C75973">
        <w:rPr>
          <w:rFonts w:asciiTheme="majorBidi" w:hAnsiTheme="majorBidi" w:cstheme="majorBidi"/>
          <w:szCs w:val="22"/>
        </w:rPr>
        <w:t xml:space="preserve">tento veterinární léčivý přípravek </w:t>
      </w:r>
      <w:r w:rsidRPr="00C75973">
        <w:rPr>
          <w:rFonts w:asciiTheme="majorBidi" w:hAnsiTheme="majorBidi" w:cstheme="majorBidi"/>
          <w:szCs w:val="22"/>
        </w:rPr>
        <w:t xml:space="preserve">po uplynutí doby použitelnosti uvedené na </w:t>
      </w:r>
      <w:r w:rsidR="00200446">
        <w:rPr>
          <w:szCs w:val="22"/>
        </w:rPr>
        <w:t>etiketě po Exp.</w:t>
      </w:r>
    </w:p>
    <w:p w14:paraId="4314E015" w14:textId="77777777" w:rsidR="000F3A0B" w:rsidRPr="00C75973" w:rsidRDefault="000F3A0B" w:rsidP="00F30757">
      <w:pPr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12E566BD" w14:textId="77777777" w:rsidR="000F3A0B" w:rsidRPr="00C75973" w:rsidRDefault="00EE0346" w:rsidP="0028295D">
      <w:pPr>
        <w:pStyle w:val="Style1"/>
        <w:keepNext/>
        <w:jc w:val="both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12.</w:t>
      </w:r>
      <w:r w:rsidRPr="00C75973">
        <w:rPr>
          <w:rFonts w:asciiTheme="majorBidi" w:hAnsiTheme="majorBidi" w:cstheme="majorBidi"/>
        </w:rPr>
        <w:tab/>
        <w:t>Zvláštní opatření pro likvidaci</w:t>
      </w:r>
    </w:p>
    <w:p w14:paraId="05A323BA" w14:textId="77777777" w:rsidR="000F3A0B" w:rsidRPr="00C75973" w:rsidRDefault="000F3A0B" w:rsidP="0028295D">
      <w:pPr>
        <w:keepNext/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5E9E397C" w14:textId="71C9A93C" w:rsidR="000F3A0B" w:rsidRDefault="00EE0346" w:rsidP="0028295D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Léčivé přípravky se nesmí likvidovat prostřednictvím odpadní vody či domovního odpadu.</w:t>
      </w:r>
    </w:p>
    <w:p w14:paraId="67CD9BC9" w14:textId="77777777" w:rsidR="0028295D" w:rsidRPr="00C75973" w:rsidRDefault="0028295D" w:rsidP="0028295D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44F22276" w14:textId="55DE689A" w:rsidR="000F3A0B" w:rsidRDefault="00EE0346" w:rsidP="0028295D">
      <w:pPr>
        <w:spacing w:line="240" w:lineRule="auto"/>
        <w:jc w:val="both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05FBC14" w14:textId="77777777" w:rsidR="0028295D" w:rsidRPr="00C75973" w:rsidRDefault="0028295D" w:rsidP="0028295D">
      <w:pPr>
        <w:spacing w:line="240" w:lineRule="auto"/>
        <w:jc w:val="both"/>
        <w:rPr>
          <w:rFonts w:asciiTheme="majorBidi" w:hAnsiTheme="majorBidi" w:cstheme="majorBidi"/>
          <w:szCs w:val="22"/>
        </w:rPr>
      </w:pPr>
    </w:p>
    <w:p w14:paraId="4CC42148" w14:textId="60ABBDB9" w:rsidR="000F3A0B" w:rsidRPr="00C75973" w:rsidRDefault="00EE0346" w:rsidP="0028295D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bCs/>
          <w:szCs w:val="22"/>
          <w:highlight w:val="lightGray"/>
        </w:rPr>
      </w:pPr>
      <w:r w:rsidRPr="00C75973">
        <w:rPr>
          <w:rFonts w:asciiTheme="majorBidi" w:hAnsiTheme="majorBidi" w:cstheme="majorBidi"/>
          <w:szCs w:val="22"/>
        </w:rPr>
        <w:t>O možnostech likvidace nepotřebných léčivých přípravků se poraďte s vaším veterinárním lékařem nebo</w:t>
      </w:r>
      <w:r w:rsidR="00D63BA1">
        <w:rPr>
          <w:rFonts w:asciiTheme="majorBidi" w:hAnsiTheme="majorBidi" w:cstheme="majorBidi"/>
          <w:szCs w:val="22"/>
        </w:rPr>
        <w:t xml:space="preserve"> </w:t>
      </w:r>
      <w:r w:rsidRPr="00C75973">
        <w:rPr>
          <w:rFonts w:asciiTheme="majorBidi" w:hAnsiTheme="majorBidi" w:cstheme="majorBidi"/>
          <w:szCs w:val="22"/>
        </w:rPr>
        <w:t>lékárníkem.</w:t>
      </w:r>
    </w:p>
    <w:p w14:paraId="1B3DAC63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  <w:highlight w:val="lightGray"/>
        </w:rPr>
      </w:pPr>
    </w:p>
    <w:p w14:paraId="280B14A7" w14:textId="77777777" w:rsidR="000F3A0B" w:rsidRPr="00C75973" w:rsidRDefault="00EE0346" w:rsidP="00C75973">
      <w:pPr>
        <w:pStyle w:val="Style1"/>
        <w:keepNext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13.</w:t>
      </w:r>
      <w:r w:rsidRPr="00C75973">
        <w:rPr>
          <w:rFonts w:asciiTheme="majorBidi" w:hAnsiTheme="majorBidi" w:cstheme="majorBidi"/>
        </w:rPr>
        <w:tab/>
        <w:t>Klasifikace veterinárních léčivých přípravků</w:t>
      </w:r>
    </w:p>
    <w:p w14:paraId="4C241778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FA53767" w14:textId="77777777" w:rsidR="000F3A0B" w:rsidRPr="00C75973" w:rsidRDefault="00EE0346" w:rsidP="00C75973">
      <w:pPr>
        <w:spacing w:line="240" w:lineRule="auto"/>
        <w:ind w:right="-318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Veterinární léčivý přípravek je vydáván pouze na předpis.</w:t>
      </w:r>
    </w:p>
    <w:p w14:paraId="00AEFEDD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47408A0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14.</w:t>
      </w:r>
      <w:r w:rsidRPr="00C75973">
        <w:rPr>
          <w:rFonts w:asciiTheme="majorBidi" w:hAnsiTheme="majorBidi" w:cstheme="majorBidi"/>
        </w:rPr>
        <w:tab/>
        <w:t>Registrační čísla a velikosti balení</w:t>
      </w:r>
    </w:p>
    <w:p w14:paraId="027BBFA4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073A987" w14:textId="77777777" w:rsidR="000F3A0B" w:rsidRPr="00C75973" w:rsidRDefault="00EE0346" w:rsidP="00C75973">
      <w:pPr>
        <w:spacing w:line="240" w:lineRule="auto"/>
        <w:ind w:right="-318"/>
        <w:rPr>
          <w:rFonts w:asciiTheme="majorBidi" w:hAnsiTheme="majorBidi" w:cstheme="majorBidi"/>
          <w:caps/>
          <w:szCs w:val="22"/>
        </w:rPr>
      </w:pPr>
      <w:r w:rsidRPr="00C75973">
        <w:rPr>
          <w:rFonts w:asciiTheme="majorBidi" w:hAnsiTheme="majorBidi" w:cstheme="majorBidi"/>
          <w:caps/>
          <w:szCs w:val="22"/>
        </w:rPr>
        <w:t>96/024/03-C</w:t>
      </w:r>
    </w:p>
    <w:p w14:paraId="503B8DAA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330C4C0" w14:textId="77777777" w:rsidR="000F3A0B" w:rsidRPr="00C75973" w:rsidRDefault="00EE0346" w:rsidP="00C75973">
      <w:pPr>
        <w:tabs>
          <w:tab w:val="left" w:pos="709"/>
        </w:tabs>
        <w:spacing w:line="240" w:lineRule="auto"/>
        <w:ind w:right="15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 xml:space="preserve">Velikosti balení: 14, 20, 30, 50, 60, </w:t>
      </w:r>
      <w:smartTag w:uri="urn:schemas-microsoft-com:office:smarttags" w:element="metricconverter">
        <w:smartTagPr>
          <w:attr w:name="ProductID" w:val="100 a"/>
        </w:smartTagPr>
        <w:r w:rsidRPr="00C75973">
          <w:rPr>
            <w:rFonts w:asciiTheme="majorBidi" w:hAnsiTheme="majorBidi" w:cstheme="majorBidi"/>
            <w:szCs w:val="22"/>
          </w:rPr>
          <w:t>100 a</w:t>
        </w:r>
      </w:smartTag>
      <w:r w:rsidRPr="00C75973">
        <w:rPr>
          <w:rFonts w:asciiTheme="majorBidi" w:hAnsiTheme="majorBidi" w:cstheme="majorBidi"/>
          <w:szCs w:val="22"/>
        </w:rPr>
        <w:t xml:space="preserve"> 180 tablet</w:t>
      </w:r>
    </w:p>
    <w:p w14:paraId="10F8DEFB" w14:textId="77777777" w:rsidR="000F3A0B" w:rsidRPr="00C75973" w:rsidRDefault="000F3A0B" w:rsidP="00C75973">
      <w:pPr>
        <w:tabs>
          <w:tab w:val="left" w:pos="709"/>
        </w:tabs>
        <w:spacing w:line="240" w:lineRule="auto"/>
        <w:ind w:right="15"/>
        <w:rPr>
          <w:rFonts w:asciiTheme="majorBidi" w:hAnsiTheme="majorBidi" w:cstheme="majorBidi"/>
          <w:szCs w:val="22"/>
        </w:rPr>
      </w:pPr>
    </w:p>
    <w:p w14:paraId="368F05DF" w14:textId="77777777" w:rsidR="000F3A0B" w:rsidRPr="00C75973" w:rsidRDefault="00EE0346" w:rsidP="00C75973">
      <w:pPr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Na trhu nemusí být všechny velikosti balení.</w:t>
      </w:r>
    </w:p>
    <w:p w14:paraId="7F1BF45E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E7AAE0F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15.</w:t>
      </w:r>
      <w:r w:rsidRPr="00C75973">
        <w:rPr>
          <w:rFonts w:asciiTheme="majorBidi" w:hAnsiTheme="majorBidi" w:cstheme="majorBidi"/>
        </w:rPr>
        <w:tab/>
        <w:t>Datum poslední revize příbalové informace</w:t>
      </w:r>
    </w:p>
    <w:p w14:paraId="737475A6" w14:textId="77777777" w:rsidR="000F3A0B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5A90891" w14:textId="341E6D0B" w:rsidR="001E7484" w:rsidRPr="00B22FC6" w:rsidRDefault="006765C6" w:rsidP="001E7484">
      <w:pPr>
        <w:spacing w:line="240" w:lineRule="auto"/>
        <w:jc w:val="both"/>
        <w:rPr>
          <w:szCs w:val="22"/>
        </w:rPr>
      </w:pPr>
      <w:r>
        <w:rPr>
          <w:szCs w:val="22"/>
        </w:rPr>
        <w:t>09</w:t>
      </w:r>
      <w:r w:rsidR="003D498B">
        <w:rPr>
          <w:szCs w:val="22"/>
        </w:rPr>
        <w:t>/2025</w:t>
      </w:r>
    </w:p>
    <w:p w14:paraId="70BAAAD1" w14:textId="77777777" w:rsidR="001E7484" w:rsidRDefault="001E7484" w:rsidP="001E7484">
      <w:pPr>
        <w:tabs>
          <w:tab w:val="clear" w:pos="567"/>
        </w:tabs>
        <w:spacing w:line="240" w:lineRule="auto"/>
        <w:rPr>
          <w:szCs w:val="22"/>
        </w:rPr>
      </w:pPr>
    </w:p>
    <w:p w14:paraId="443815C7" w14:textId="77777777" w:rsidR="001E7484" w:rsidRDefault="001E7484" w:rsidP="001E748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Podrobné informace o tomto veterinárním léčivém přípravku jsou k dispozici v databázi přípravků Unie (</w:t>
      </w:r>
      <w:hyperlink r:id="rId9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).</w:t>
      </w:r>
    </w:p>
    <w:p w14:paraId="36A844E4" w14:textId="77777777" w:rsidR="001E7484" w:rsidRDefault="001E7484" w:rsidP="001E7484">
      <w:pPr>
        <w:tabs>
          <w:tab w:val="clear" w:pos="567"/>
        </w:tabs>
        <w:spacing w:line="240" w:lineRule="auto"/>
        <w:rPr>
          <w:szCs w:val="22"/>
        </w:rPr>
      </w:pPr>
    </w:p>
    <w:p w14:paraId="7067B13F" w14:textId="77777777" w:rsidR="001E7484" w:rsidRPr="004203D4" w:rsidRDefault="001E7484" w:rsidP="001E7484">
      <w:pPr>
        <w:ind w:right="-1"/>
        <w:jc w:val="both"/>
        <w:rPr>
          <w:szCs w:val="22"/>
        </w:rPr>
      </w:pPr>
      <w:r w:rsidRPr="004203D4">
        <w:rPr>
          <w:szCs w:val="22"/>
        </w:rPr>
        <w:t>Podrobné informace o tomto veterinárním léčivém přípravku naleznete také v národní databázi (</w:t>
      </w:r>
      <w:hyperlink r:id="rId10" w:history="1">
        <w:r w:rsidRPr="004203D4">
          <w:rPr>
            <w:rStyle w:val="Hypertextovodkaz"/>
            <w:szCs w:val="22"/>
          </w:rPr>
          <w:t>https://www.uskvbl.cz</w:t>
        </w:r>
      </w:hyperlink>
      <w:r w:rsidRPr="004203D4">
        <w:rPr>
          <w:szCs w:val="22"/>
        </w:rPr>
        <w:t>).</w:t>
      </w:r>
    </w:p>
    <w:p w14:paraId="55D2596A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1BD17F2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16.</w:t>
      </w:r>
      <w:r w:rsidRPr="00C75973">
        <w:rPr>
          <w:rFonts w:asciiTheme="majorBidi" w:hAnsiTheme="majorBidi" w:cstheme="majorBidi"/>
        </w:rPr>
        <w:tab/>
        <w:t>Kontaktní údaje</w:t>
      </w:r>
    </w:p>
    <w:p w14:paraId="4E4C499F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FB14722" w14:textId="17A2A0D0" w:rsidR="000F3A0B" w:rsidRPr="00C75973" w:rsidRDefault="00EE0346" w:rsidP="00C75973">
      <w:pPr>
        <w:spacing w:line="240" w:lineRule="auto"/>
        <w:rPr>
          <w:rFonts w:asciiTheme="majorBidi" w:hAnsiTheme="majorBidi" w:cstheme="majorBidi"/>
          <w:iCs/>
          <w:szCs w:val="22"/>
        </w:rPr>
      </w:pPr>
      <w:r w:rsidRPr="00C75973">
        <w:rPr>
          <w:rFonts w:asciiTheme="majorBidi" w:hAnsiTheme="majorBidi" w:cstheme="majorBidi"/>
          <w:iCs/>
          <w:szCs w:val="22"/>
          <w:u w:val="single"/>
        </w:rPr>
        <w:t>Držitel rozhodnutí o registraci</w:t>
      </w:r>
      <w:r w:rsidR="002D6583" w:rsidRPr="002D6583">
        <w:rPr>
          <w:iCs/>
          <w:szCs w:val="22"/>
          <w:u w:val="single"/>
        </w:rPr>
        <w:t xml:space="preserve"> </w:t>
      </w:r>
      <w:r w:rsidR="002D6583" w:rsidRPr="00B41D57">
        <w:rPr>
          <w:iCs/>
          <w:szCs w:val="22"/>
          <w:u w:val="single"/>
        </w:rPr>
        <w:t>a kontaktní údaje pro hlášení podezření na nežádoucí účinky</w:t>
      </w:r>
      <w:r w:rsidR="002D6583">
        <w:rPr>
          <w:iCs/>
          <w:szCs w:val="22"/>
          <w:u w:val="single"/>
        </w:rPr>
        <w:t>:</w:t>
      </w:r>
      <w:r w:rsidRPr="00C75973">
        <w:rPr>
          <w:rFonts w:asciiTheme="majorBidi" w:hAnsiTheme="majorBidi" w:cstheme="majorBidi"/>
          <w:iCs/>
          <w:szCs w:val="22"/>
        </w:rPr>
        <w:t xml:space="preserve"> </w:t>
      </w:r>
    </w:p>
    <w:p w14:paraId="794EB9A4" w14:textId="77777777" w:rsidR="00E97181" w:rsidRDefault="00EE0346" w:rsidP="00C75973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C75973">
        <w:rPr>
          <w:rFonts w:asciiTheme="majorBidi" w:hAnsiTheme="majorBidi" w:cstheme="majorBidi"/>
          <w:szCs w:val="22"/>
        </w:rPr>
        <w:t>Zoetis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Česká republika, s.r.o.</w:t>
      </w:r>
    </w:p>
    <w:p w14:paraId="550EFA82" w14:textId="77777777" w:rsidR="00E97181" w:rsidRDefault="00EE0346" w:rsidP="00C75973">
      <w:pPr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náměstí 14. října 642/17</w:t>
      </w:r>
    </w:p>
    <w:p w14:paraId="17DEBA55" w14:textId="77777777" w:rsidR="00E97181" w:rsidRDefault="00EE0346" w:rsidP="00C75973">
      <w:pPr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150 00 Praha 5</w:t>
      </w:r>
    </w:p>
    <w:p w14:paraId="2F02C330" w14:textId="59B1D548" w:rsidR="000F3A0B" w:rsidRPr="00C75973" w:rsidRDefault="00EE0346" w:rsidP="00C75973">
      <w:pPr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 xml:space="preserve">Česká republika </w:t>
      </w:r>
    </w:p>
    <w:p w14:paraId="284FE82F" w14:textId="6CA12A7D" w:rsidR="00E97181" w:rsidRPr="00C75973" w:rsidRDefault="00E97181" w:rsidP="00E97181">
      <w:pPr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Tel: +420 257 101 111</w:t>
      </w:r>
    </w:p>
    <w:p w14:paraId="1806C821" w14:textId="77777777" w:rsidR="000F3A0B" w:rsidRPr="00C75973" w:rsidRDefault="000F3A0B" w:rsidP="00C75973">
      <w:pPr>
        <w:spacing w:line="240" w:lineRule="auto"/>
        <w:rPr>
          <w:rFonts w:asciiTheme="majorBidi" w:hAnsiTheme="majorBidi" w:cstheme="majorBidi"/>
          <w:szCs w:val="22"/>
        </w:rPr>
      </w:pPr>
    </w:p>
    <w:p w14:paraId="57385C99" w14:textId="77777777" w:rsidR="000F3A0B" w:rsidRPr="00C75973" w:rsidRDefault="00EE0346" w:rsidP="00C75973">
      <w:pPr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bCs/>
          <w:szCs w:val="22"/>
          <w:u w:val="single"/>
        </w:rPr>
        <w:t>Výrobce odpovědný za uvolnění šarže</w:t>
      </w:r>
      <w:r w:rsidRPr="00C75973">
        <w:rPr>
          <w:rFonts w:asciiTheme="majorBidi" w:hAnsiTheme="majorBidi" w:cstheme="majorBidi"/>
          <w:szCs w:val="22"/>
        </w:rPr>
        <w:t xml:space="preserve">: </w:t>
      </w:r>
    </w:p>
    <w:p w14:paraId="3F5CA2BB" w14:textId="77777777" w:rsidR="00E97181" w:rsidRDefault="00EE0346" w:rsidP="00C75973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C75973">
        <w:rPr>
          <w:rFonts w:asciiTheme="majorBidi" w:hAnsiTheme="majorBidi" w:cstheme="majorBidi"/>
          <w:szCs w:val="22"/>
        </w:rPr>
        <w:t>Zoetis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C75973">
        <w:rPr>
          <w:rFonts w:asciiTheme="majorBidi" w:hAnsiTheme="majorBidi" w:cstheme="majorBidi"/>
          <w:szCs w:val="22"/>
        </w:rPr>
        <w:t>Belgium</w:t>
      </w:r>
      <w:proofErr w:type="spellEnd"/>
    </w:p>
    <w:p w14:paraId="09545F29" w14:textId="77777777" w:rsidR="00E97181" w:rsidRDefault="00EE0346" w:rsidP="00C75973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 w:rsidRPr="00C75973">
        <w:rPr>
          <w:rFonts w:asciiTheme="majorBidi" w:hAnsiTheme="majorBidi" w:cstheme="majorBidi"/>
          <w:szCs w:val="22"/>
        </w:rPr>
        <w:t>Rue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C75973">
        <w:rPr>
          <w:rFonts w:asciiTheme="majorBidi" w:hAnsiTheme="majorBidi" w:cstheme="majorBidi"/>
          <w:szCs w:val="22"/>
        </w:rPr>
        <w:t>Laid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C75973">
        <w:rPr>
          <w:rFonts w:asciiTheme="majorBidi" w:hAnsiTheme="majorBidi" w:cstheme="majorBidi"/>
          <w:szCs w:val="22"/>
        </w:rPr>
        <w:t>Burniat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1</w:t>
      </w:r>
    </w:p>
    <w:p w14:paraId="1DE0E4EE" w14:textId="77777777" w:rsidR="00E97181" w:rsidRDefault="00EE0346" w:rsidP="00C75973">
      <w:pPr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 xml:space="preserve">B-1348 </w:t>
      </w:r>
      <w:proofErr w:type="spellStart"/>
      <w:r w:rsidRPr="00C75973">
        <w:rPr>
          <w:rFonts w:asciiTheme="majorBidi" w:hAnsiTheme="majorBidi" w:cstheme="majorBidi"/>
          <w:szCs w:val="22"/>
        </w:rPr>
        <w:t>Louvain</w:t>
      </w:r>
      <w:proofErr w:type="spellEnd"/>
      <w:r w:rsidRPr="00C75973">
        <w:rPr>
          <w:rFonts w:asciiTheme="majorBidi" w:hAnsiTheme="majorBidi" w:cstheme="majorBidi"/>
          <w:szCs w:val="22"/>
        </w:rPr>
        <w:t>-</w:t>
      </w:r>
      <w:r w:rsidR="00E97181">
        <w:rPr>
          <w:rFonts w:asciiTheme="majorBidi" w:hAnsiTheme="majorBidi" w:cstheme="majorBidi"/>
          <w:szCs w:val="22"/>
        </w:rPr>
        <w:t>L</w:t>
      </w:r>
      <w:r w:rsidRPr="00C75973">
        <w:rPr>
          <w:rFonts w:asciiTheme="majorBidi" w:hAnsiTheme="majorBidi" w:cstheme="majorBidi"/>
          <w:szCs w:val="22"/>
        </w:rPr>
        <w:t>a-</w:t>
      </w:r>
      <w:proofErr w:type="spellStart"/>
      <w:r w:rsidRPr="00C75973">
        <w:rPr>
          <w:rFonts w:asciiTheme="majorBidi" w:hAnsiTheme="majorBidi" w:cstheme="majorBidi"/>
          <w:szCs w:val="22"/>
        </w:rPr>
        <w:t>Neuve</w:t>
      </w:r>
      <w:proofErr w:type="spellEnd"/>
    </w:p>
    <w:p w14:paraId="284545C8" w14:textId="1BEFB489" w:rsidR="000F3A0B" w:rsidRPr="00C75973" w:rsidRDefault="00EE0346" w:rsidP="00C75973">
      <w:pPr>
        <w:spacing w:line="240" w:lineRule="auto"/>
        <w:rPr>
          <w:rFonts w:asciiTheme="majorBidi" w:hAnsiTheme="majorBidi" w:cstheme="majorBidi"/>
          <w:bCs/>
          <w:szCs w:val="22"/>
          <w:u w:val="single"/>
        </w:rPr>
      </w:pPr>
      <w:r w:rsidRPr="00C75973">
        <w:rPr>
          <w:rFonts w:asciiTheme="majorBidi" w:hAnsiTheme="majorBidi" w:cstheme="majorBidi"/>
          <w:szCs w:val="22"/>
        </w:rPr>
        <w:t>Belgie</w:t>
      </w:r>
    </w:p>
    <w:p w14:paraId="0E17FFE3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C05E63" w14:textId="77777777" w:rsidR="000F3A0B" w:rsidRPr="00C75973" w:rsidRDefault="00EE0346" w:rsidP="00C75973">
      <w:pPr>
        <w:pStyle w:val="Style1"/>
        <w:rPr>
          <w:rFonts w:asciiTheme="majorBidi" w:hAnsiTheme="majorBidi" w:cstheme="majorBidi"/>
        </w:rPr>
      </w:pPr>
      <w:r w:rsidRPr="00C75973">
        <w:rPr>
          <w:rFonts w:asciiTheme="majorBidi" w:hAnsiTheme="majorBidi" w:cstheme="majorBidi"/>
          <w:highlight w:val="lightGray"/>
        </w:rPr>
        <w:t>17.</w:t>
      </w:r>
      <w:r w:rsidRPr="00C75973">
        <w:rPr>
          <w:rFonts w:asciiTheme="majorBidi" w:hAnsiTheme="majorBidi" w:cstheme="majorBidi"/>
        </w:rPr>
        <w:tab/>
        <w:t>Další informace</w:t>
      </w:r>
    </w:p>
    <w:p w14:paraId="73F1DB45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8AD91B4" w14:textId="77777777" w:rsidR="000F3A0B" w:rsidRPr="00C75973" w:rsidRDefault="00EE0346" w:rsidP="00C75973">
      <w:pPr>
        <w:spacing w:line="240" w:lineRule="auto"/>
        <w:ind w:right="15"/>
        <w:rPr>
          <w:rFonts w:asciiTheme="majorBidi" w:hAnsiTheme="majorBidi" w:cstheme="majorBidi"/>
          <w:szCs w:val="22"/>
        </w:rPr>
      </w:pPr>
      <w:proofErr w:type="spellStart"/>
      <w:r w:rsidRPr="00C75973">
        <w:rPr>
          <w:rFonts w:asciiTheme="majorBidi" w:hAnsiTheme="majorBidi" w:cstheme="majorBidi"/>
          <w:szCs w:val="22"/>
        </w:rPr>
        <w:t>Karprofen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neprokázal žádný nežádoucí vliv na kloubní chrupavku psů po opakované léčebné dávce během 8 týdnů. Navíc, terapeutické koncentrace </w:t>
      </w:r>
      <w:proofErr w:type="spellStart"/>
      <w:r w:rsidRPr="00C75973">
        <w:rPr>
          <w:rFonts w:asciiTheme="majorBidi" w:hAnsiTheme="majorBidi" w:cstheme="majorBidi"/>
          <w:szCs w:val="22"/>
        </w:rPr>
        <w:t>karprofenu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ukázaly </w:t>
      </w:r>
      <w:r w:rsidRPr="00C75973">
        <w:rPr>
          <w:rFonts w:asciiTheme="majorBidi" w:hAnsiTheme="majorBidi" w:cstheme="majorBidi"/>
          <w:i/>
          <w:szCs w:val="22"/>
        </w:rPr>
        <w:t>in vitro</w:t>
      </w:r>
      <w:r w:rsidRPr="00C75973">
        <w:rPr>
          <w:rFonts w:asciiTheme="majorBidi" w:hAnsiTheme="majorBidi" w:cstheme="majorBidi"/>
          <w:szCs w:val="22"/>
        </w:rPr>
        <w:t xml:space="preserve"> nárůst syntézy </w:t>
      </w:r>
      <w:proofErr w:type="spellStart"/>
      <w:r w:rsidRPr="00C75973">
        <w:rPr>
          <w:rFonts w:asciiTheme="majorBidi" w:hAnsiTheme="majorBidi" w:cstheme="majorBidi"/>
          <w:szCs w:val="22"/>
        </w:rPr>
        <w:t>glykosaminoglykanů</w:t>
      </w:r>
      <w:proofErr w:type="spellEnd"/>
      <w:r w:rsidRPr="00C75973">
        <w:rPr>
          <w:rFonts w:asciiTheme="majorBidi" w:hAnsiTheme="majorBidi" w:cstheme="majorBidi"/>
          <w:szCs w:val="22"/>
        </w:rPr>
        <w:t xml:space="preserve"> (GAG) v chondrocytech získaných ze psí kloubní chrupavky.</w:t>
      </w:r>
    </w:p>
    <w:p w14:paraId="57B9EC02" w14:textId="489FEA49" w:rsidR="000F3A0B" w:rsidRPr="00C75973" w:rsidRDefault="00EE0346" w:rsidP="00C75973">
      <w:pPr>
        <w:spacing w:line="240" w:lineRule="auto"/>
        <w:rPr>
          <w:rFonts w:asciiTheme="majorBidi" w:hAnsiTheme="majorBidi" w:cstheme="majorBidi"/>
          <w:szCs w:val="22"/>
        </w:rPr>
      </w:pPr>
      <w:r w:rsidRPr="00C75973">
        <w:rPr>
          <w:rFonts w:asciiTheme="majorBidi" w:hAnsiTheme="majorBidi" w:cstheme="majorBidi"/>
          <w:szCs w:val="22"/>
        </w:rPr>
        <w:t>Stimulace syntézy GAG sníží rozdíl mezi podílem degenerace a regenerace kloubní matrix, což má za následek zpomalení procesu ztráty chrupavky.</w:t>
      </w:r>
    </w:p>
    <w:p w14:paraId="525A1598" w14:textId="77777777" w:rsidR="000F3A0B" w:rsidRPr="00C75973" w:rsidRDefault="000F3A0B" w:rsidP="00C7597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sectPr w:rsidR="000F3A0B" w:rsidRPr="00C75973" w:rsidSect="00C24127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A68B5B" w16cex:dateUtc="2024-10-01T12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F7597" w14:textId="77777777" w:rsidR="00480924" w:rsidRDefault="00480924">
      <w:pPr>
        <w:spacing w:line="240" w:lineRule="auto"/>
      </w:pPr>
      <w:r>
        <w:separator/>
      </w:r>
    </w:p>
  </w:endnote>
  <w:endnote w:type="continuationSeparator" w:id="0">
    <w:p w14:paraId="4AEB9FF1" w14:textId="77777777" w:rsidR="00480924" w:rsidRDefault="00480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258FD" w14:textId="77777777" w:rsidR="000F3A0B" w:rsidRDefault="00EE034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03CDA" w14:textId="77777777" w:rsidR="000F3A0B" w:rsidRDefault="00EE034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C0EA3" w14:textId="77777777" w:rsidR="00480924" w:rsidRDefault="00480924">
      <w:pPr>
        <w:spacing w:line="240" w:lineRule="auto"/>
      </w:pPr>
      <w:r>
        <w:separator/>
      </w:r>
    </w:p>
  </w:footnote>
  <w:footnote w:type="continuationSeparator" w:id="0">
    <w:p w14:paraId="170C4E33" w14:textId="77777777" w:rsidR="00480924" w:rsidRDefault="004809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CD057" w14:textId="77777777" w:rsidR="00DA6ED1" w:rsidRDefault="00DA6E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D2A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046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68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7CF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8A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83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25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E5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061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46A5AD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4BA4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89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7AD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FE33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B68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B60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40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8AB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76ED69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64864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7CC4B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E4C17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9F438E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EE72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0869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77602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A60F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EE662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9E7C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CE38C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BCA87F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C7841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DEE65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228B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AC0A3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9166E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6FAA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84B5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CC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3EA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20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A2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81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64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F0F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6FA7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24A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A2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4E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A2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C88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0E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89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D4A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16A3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D4B8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D4CC6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14CC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D426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4C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2BADD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38E3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2827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9C42C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AB02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E0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A4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AA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88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84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85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C4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1267E0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EDABFC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C488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E4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27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520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AD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61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1CB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EC852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21C2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2A4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C9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62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EC5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41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E83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94A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2209BF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761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C4C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27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0D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8F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102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2CB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CE1F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B665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028B9C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E20055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398F8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3D8B5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CEEF9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93CA8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D1AA11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3225BD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B2EA2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B60B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5272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DCA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4C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141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4D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C49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A48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6526EEC">
      <w:start w:val="1"/>
      <w:numFmt w:val="upperLetter"/>
      <w:pStyle w:val="Style3"/>
      <w:suff w:val="space"/>
      <w:lvlText w:val="%1."/>
      <w:lvlJc w:val="left"/>
      <w:pPr>
        <w:ind w:left="2552" w:firstLine="0"/>
      </w:pPr>
      <w:rPr>
        <w:rFonts w:hint="default"/>
      </w:rPr>
    </w:lvl>
    <w:lvl w:ilvl="1" w:tplc="C8920658" w:tentative="1">
      <w:start w:val="1"/>
      <w:numFmt w:val="lowerLetter"/>
      <w:lvlText w:val="%2."/>
      <w:lvlJc w:val="left"/>
      <w:pPr>
        <w:ind w:left="1440" w:hanging="360"/>
      </w:pPr>
    </w:lvl>
    <w:lvl w:ilvl="2" w:tplc="C5723EC4" w:tentative="1">
      <w:start w:val="1"/>
      <w:numFmt w:val="lowerRoman"/>
      <w:lvlText w:val="%3."/>
      <w:lvlJc w:val="right"/>
      <w:pPr>
        <w:ind w:left="2160" w:hanging="180"/>
      </w:pPr>
    </w:lvl>
    <w:lvl w:ilvl="3" w:tplc="7A38222E" w:tentative="1">
      <w:start w:val="1"/>
      <w:numFmt w:val="decimal"/>
      <w:lvlText w:val="%4."/>
      <w:lvlJc w:val="left"/>
      <w:pPr>
        <w:ind w:left="2880" w:hanging="360"/>
      </w:pPr>
    </w:lvl>
    <w:lvl w:ilvl="4" w:tplc="B12EB34C" w:tentative="1">
      <w:start w:val="1"/>
      <w:numFmt w:val="lowerLetter"/>
      <w:lvlText w:val="%5."/>
      <w:lvlJc w:val="left"/>
      <w:pPr>
        <w:ind w:left="3600" w:hanging="360"/>
      </w:pPr>
    </w:lvl>
    <w:lvl w:ilvl="5" w:tplc="0C08EBE2" w:tentative="1">
      <w:start w:val="1"/>
      <w:numFmt w:val="lowerRoman"/>
      <w:lvlText w:val="%6."/>
      <w:lvlJc w:val="right"/>
      <w:pPr>
        <w:ind w:left="4320" w:hanging="180"/>
      </w:pPr>
    </w:lvl>
    <w:lvl w:ilvl="6" w:tplc="F8BAAEA8" w:tentative="1">
      <w:start w:val="1"/>
      <w:numFmt w:val="decimal"/>
      <w:lvlText w:val="%7."/>
      <w:lvlJc w:val="left"/>
      <w:pPr>
        <w:ind w:left="5040" w:hanging="360"/>
      </w:pPr>
    </w:lvl>
    <w:lvl w:ilvl="7" w:tplc="0A56C59C" w:tentative="1">
      <w:start w:val="1"/>
      <w:numFmt w:val="lowerLetter"/>
      <w:lvlText w:val="%8."/>
      <w:lvlJc w:val="left"/>
      <w:pPr>
        <w:ind w:left="5760" w:hanging="360"/>
      </w:pPr>
    </w:lvl>
    <w:lvl w:ilvl="8" w:tplc="97C04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388F4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2AC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C2E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69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0A4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E86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A6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24B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4E0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8301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6F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EC69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A03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0A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D45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01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6D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12CA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AAEF51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D1AC9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D6E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02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08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C6B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6A4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4C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3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6AA905C">
      <w:start w:val="1"/>
      <w:numFmt w:val="decimal"/>
      <w:lvlText w:val="%1."/>
      <w:lvlJc w:val="left"/>
      <w:pPr>
        <w:ind w:left="720" w:hanging="360"/>
      </w:pPr>
    </w:lvl>
    <w:lvl w:ilvl="1" w:tplc="83D28130" w:tentative="1">
      <w:start w:val="1"/>
      <w:numFmt w:val="lowerLetter"/>
      <w:lvlText w:val="%2."/>
      <w:lvlJc w:val="left"/>
      <w:pPr>
        <w:ind w:left="1440" w:hanging="360"/>
      </w:pPr>
    </w:lvl>
    <w:lvl w:ilvl="2" w:tplc="7108C9EA" w:tentative="1">
      <w:start w:val="1"/>
      <w:numFmt w:val="lowerRoman"/>
      <w:lvlText w:val="%3."/>
      <w:lvlJc w:val="right"/>
      <w:pPr>
        <w:ind w:left="2160" w:hanging="180"/>
      </w:pPr>
    </w:lvl>
    <w:lvl w:ilvl="3" w:tplc="9D30EB38" w:tentative="1">
      <w:start w:val="1"/>
      <w:numFmt w:val="decimal"/>
      <w:lvlText w:val="%4."/>
      <w:lvlJc w:val="left"/>
      <w:pPr>
        <w:ind w:left="2880" w:hanging="360"/>
      </w:pPr>
    </w:lvl>
    <w:lvl w:ilvl="4" w:tplc="4DBA67D8" w:tentative="1">
      <w:start w:val="1"/>
      <w:numFmt w:val="lowerLetter"/>
      <w:lvlText w:val="%5."/>
      <w:lvlJc w:val="left"/>
      <w:pPr>
        <w:ind w:left="3600" w:hanging="360"/>
      </w:pPr>
    </w:lvl>
    <w:lvl w:ilvl="5" w:tplc="4804422A" w:tentative="1">
      <w:start w:val="1"/>
      <w:numFmt w:val="lowerRoman"/>
      <w:lvlText w:val="%6."/>
      <w:lvlJc w:val="right"/>
      <w:pPr>
        <w:ind w:left="4320" w:hanging="180"/>
      </w:pPr>
    </w:lvl>
    <w:lvl w:ilvl="6" w:tplc="C0C6F246" w:tentative="1">
      <w:start w:val="1"/>
      <w:numFmt w:val="decimal"/>
      <w:lvlText w:val="%7."/>
      <w:lvlJc w:val="left"/>
      <w:pPr>
        <w:ind w:left="5040" w:hanging="360"/>
      </w:pPr>
    </w:lvl>
    <w:lvl w:ilvl="7" w:tplc="FAAEA6E4" w:tentative="1">
      <w:start w:val="1"/>
      <w:numFmt w:val="lowerLetter"/>
      <w:lvlText w:val="%8."/>
      <w:lvlJc w:val="left"/>
      <w:pPr>
        <w:ind w:left="5760" w:hanging="360"/>
      </w:pPr>
    </w:lvl>
    <w:lvl w:ilvl="8" w:tplc="FFF63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5667A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2462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3AB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64B9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48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4A8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AF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05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38D7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0F3A0B"/>
    <w:rsid w:val="00003025"/>
    <w:rsid w:val="000037DA"/>
    <w:rsid w:val="00035384"/>
    <w:rsid w:val="0004554F"/>
    <w:rsid w:val="000C1AEB"/>
    <w:rsid w:val="000F3A0B"/>
    <w:rsid w:val="00123BB2"/>
    <w:rsid w:val="00132A12"/>
    <w:rsid w:val="00135E78"/>
    <w:rsid w:val="00154FAD"/>
    <w:rsid w:val="001569ED"/>
    <w:rsid w:val="00164ABD"/>
    <w:rsid w:val="001754C8"/>
    <w:rsid w:val="001B3A47"/>
    <w:rsid w:val="001C207E"/>
    <w:rsid w:val="001E7484"/>
    <w:rsid w:val="001F3783"/>
    <w:rsid w:val="00200446"/>
    <w:rsid w:val="00226A98"/>
    <w:rsid w:val="00230B74"/>
    <w:rsid w:val="0024454A"/>
    <w:rsid w:val="00251FE6"/>
    <w:rsid w:val="00262F3C"/>
    <w:rsid w:val="00270991"/>
    <w:rsid w:val="0028295D"/>
    <w:rsid w:val="002841BC"/>
    <w:rsid w:val="002D6583"/>
    <w:rsid w:val="00333290"/>
    <w:rsid w:val="00352654"/>
    <w:rsid w:val="00380AC3"/>
    <w:rsid w:val="003848EC"/>
    <w:rsid w:val="003A5EFD"/>
    <w:rsid w:val="003D498B"/>
    <w:rsid w:val="003E5BE6"/>
    <w:rsid w:val="00480924"/>
    <w:rsid w:val="004813D6"/>
    <w:rsid w:val="004815AA"/>
    <w:rsid w:val="004A5674"/>
    <w:rsid w:val="004D3D9D"/>
    <w:rsid w:val="004D5301"/>
    <w:rsid w:val="004E76A9"/>
    <w:rsid w:val="004F6674"/>
    <w:rsid w:val="00542B81"/>
    <w:rsid w:val="00554B93"/>
    <w:rsid w:val="005807C5"/>
    <w:rsid w:val="00596F12"/>
    <w:rsid w:val="005E6D72"/>
    <w:rsid w:val="005F4C64"/>
    <w:rsid w:val="006349E0"/>
    <w:rsid w:val="006765C6"/>
    <w:rsid w:val="00684294"/>
    <w:rsid w:val="006E43AD"/>
    <w:rsid w:val="00711A41"/>
    <w:rsid w:val="0072363B"/>
    <w:rsid w:val="00724056"/>
    <w:rsid w:val="007554F4"/>
    <w:rsid w:val="007658F2"/>
    <w:rsid w:val="007B3DDD"/>
    <w:rsid w:val="007E727A"/>
    <w:rsid w:val="007E7F5E"/>
    <w:rsid w:val="008171A1"/>
    <w:rsid w:val="008526DC"/>
    <w:rsid w:val="00866B06"/>
    <w:rsid w:val="0087398D"/>
    <w:rsid w:val="008D097A"/>
    <w:rsid w:val="008E4230"/>
    <w:rsid w:val="008E6E21"/>
    <w:rsid w:val="00906406"/>
    <w:rsid w:val="00914895"/>
    <w:rsid w:val="009604BA"/>
    <w:rsid w:val="00966AA9"/>
    <w:rsid w:val="009F1346"/>
    <w:rsid w:val="00A57A16"/>
    <w:rsid w:val="00A65A16"/>
    <w:rsid w:val="00AB2032"/>
    <w:rsid w:val="00AC6EE2"/>
    <w:rsid w:val="00AE6801"/>
    <w:rsid w:val="00B109D2"/>
    <w:rsid w:val="00B25354"/>
    <w:rsid w:val="00B33A5E"/>
    <w:rsid w:val="00B43358"/>
    <w:rsid w:val="00B47DEA"/>
    <w:rsid w:val="00B76098"/>
    <w:rsid w:val="00B87147"/>
    <w:rsid w:val="00B873F5"/>
    <w:rsid w:val="00C24127"/>
    <w:rsid w:val="00C24E9F"/>
    <w:rsid w:val="00C34983"/>
    <w:rsid w:val="00C579AB"/>
    <w:rsid w:val="00C75973"/>
    <w:rsid w:val="00C767E8"/>
    <w:rsid w:val="00D13C06"/>
    <w:rsid w:val="00D24763"/>
    <w:rsid w:val="00D40A10"/>
    <w:rsid w:val="00D42061"/>
    <w:rsid w:val="00D63BA1"/>
    <w:rsid w:val="00D92907"/>
    <w:rsid w:val="00DA6ED1"/>
    <w:rsid w:val="00DC3617"/>
    <w:rsid w:val="00DF7F13"/>
    <w:rsid w:val="00E037CB"/>
    <w:rsid w:val="00E328CC"/>
    <w:rsid w:val="00E37AEF"/>
    <w:rsid w:val="00E40723"/>
    <w:rsid w:val="00E62CEE"/>
    <w:rsid w:val="00E71254"/>
    <w:rsid w:val="00E97181"/>
    <w:rsid w:val="00EA2E9E"/>
    <w:rsid w:val="00EC60A1"/>
    <w:rsid w:val="00EC659A"/>
    <w:rsid w:val="00ED7DDE"/>
    <w:rsid w:val="00EE0346"/>
    <w:rsid w:val="00F04FFF"/>
    <w:rsid w:val="00F30757"/>
    <w:rsid w:val="00F5570C"/>
    <w:rsid w:val="00F8604A"/>
    <w:rsid w:val="00FB1925"/>
    <w:rsid w:val="00FC2FE9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44BDC9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ABD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ind w:left="0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164ABD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DA6ED1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17125-DF71-4A3E-820E-B55BC5F4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1146</Words>
  <Characters>6764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Manager/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Šťastná Hana</dc:creator>
  <cp:lastModifiedBy>Nepejchalová Leona</cp:lastModifiedBy>
  <cp:revision>7</cp:revision>
  <cp:lastPrinted>2025-09-16T13:16:00Z</cp:lastPrinted>
  <dcterms:created xsi:type="dcterms:W3CDTF">2025-09-08T15:27:00Z</dcterms:created>
  <dcterms:modified xsi:type="dcterms:W3CDTF">2025-09-16T13:16:00Z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