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AE68" w14:textId="77777777" w:rsidR="00AB4FB0" w:rsidRDefault="00AB4FB0"/>
    <w:p w14:paraId="36BBC252" w14:textId="77777777" w:rsidR="00AB4FB0" w:rsidRDefault="00AF25E6">
      <w:pPr>
        <w:jc w:val="center"/>
      </w:pPr>
      <w:r>
        <w:rPr>
          <w:b/>
          <w:lang w:val="cs"/>
        </w:rPr>
        <w:t>PŘÍBALOVÁ INFORMACE</w:t>
      </w:r>
    </w:p>
    <w:p w14:paraId="5C1A84E6" w14:textId="77777777" w:rsidR="00AB4FB0" w:rsidRDefault="00AB4FB0"/>
    <w:p w14:paraId="006965D8" w14:textId="77777777" w:rsidR="00AB4FB0" w:rsidRDefault="00AB4FB0"/>
    <w:p w14:paraId="6674AD5D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highlight w:val="lightGray"/>
          <w:lang w:val="cs"/>
        </w:rPr>
        <w:t>1.</w:t>
      </w:r>
      <w:r>
        <w:rPr>
          <w:b/>
          <w:lang w:val="cs"/>
        </w:rPr>
        <w:tab/>
        <w:t>Název veterinárního léčivého přípravku</w:t>
      </w:r>
    </w:p>
    <w:p w14:paraId="252BB4D6" w14:textId="77777777" w:rsidR="00AB4FB0" w:rsidRDefault="00AB4FB0">
      <w:pPr>
        <w:jc w:val="both"/>
      </w:pPr>
    </w:p>
    <w:p w14:paraId="18C534C2" w14:textId="77777777" w:rsidR="00AB4FB0" w:rsidRDefault="00AF25E6">
      <w:pPr>
        <w:autoSpaceDE w:val="0"/>
        <w:autoSpaceDN w:val="0"/>
        <w:adjustRightInd w:val="0"/>
        <w:rPr>
          <w:color w:val="000000"/>
          <w:lang w:eastAsia="en-GB"/>
        </w:rPr>
      </w:pPr>
      <w:proofErr w:type="spellStart"/>
      <w:r>
        <w:rPr>
          <w:color w:val="000000"/>
          <w:lang w:val="cs" w:eastAsia="en-GB"/>
        </w:rPr>
        <w:t>Robexera</w:t>
      </w:r>
      <w:proofErr w:type="spellEnd"/>
      <w:r>
        <w:rPr>
          <w:color w:val="000000"/>
          <w:lang w:val="cs" w:eastAsia="en-GB"/>
        </w:rPr>
        <w:t xml:space="preserve"> 20 mg/ml injekční roztok pro kočky a psy</w:t>
      </w:r>
    </w:p>
    <w:p w14:paraId="6085C719" w14:textId="77777777" w:rsidR="00AB4FB0" w:rsidRDefault="00AB4FB0">
      <w:pPr>
        <w:jc w:val="both"/>
      </w:pPr>
    </w:p>
    <w:p w14:paraId="0733F502" w14:textId="77777777" w:rsidR="00AB4FB0" w:rsidRDefault="00AB4FB0">
      <w:pPr>
        <w:jc w:val="both"/>
      </w:pPr>
    </w:p>
    <w:p w14:paraId="6F4B08EB" w14:textId="77777777" w:rsidR="00AB4FB0" w:rsidRDefault="00AF25E6">
      <w:pPr>
        <w:tabs>
          <w:tab w:val="left" w:pos="0"/>
        </w:tabs>
        <w:ind w:left="567" w:hanging="567"/>
        <w:jc w:val="both"/>
        <w:rPr>
          <w:b/>
        </w:rPr>
      </w:pPr>
      <w:r>
        <w:rPr>
          <w:b/>
          <w:highlight w:val="lightGray"/>
          <w:lang w:val="cs"/>
        </w:rPr>
        <w:t>2.</w:t>
      </w:r>
      <w:r>
        <w:rPr>
          <w:b/>
          <w:lang w:val="cs"/>
        </w:rPr>
        <w:tab/>
        <w:t>Složení</w:t>
      </w:r>
    </w:p>
    <w:p w14:paraId="2CA20C3E" w14:textId="77777777" w:rsidR="00AB4FB0" w:rsidRDefault="00AB4FB0">
      <w:pPr>
        <w:jc w:val="both"/>
        <w:rPr>
          <w:iCs/>
        </w:rPr>
      </w:pPr>
    </w:p>
    <w:p w14:paraId="5FBC7D83" w14:textId="72FFFBAE" w:rsidR="00AB4FB0" w:rsidRDefault="00AF25E6">
      <w:pPr>
        <w:jc w:val="both"/>
        <w:rPr>
          <w:lang w:val="cs"/>
        </w:rPr>
      </w:pPr>
      <w:r>
        <w:rPr>
          <w:lang w:val="cs"/>
        </w:rPr>
        <w:t>Každý ml obsahuje:</w:t>
      </w:r>
    </w:p>
    <w:p w14:paraId="6167440F" w14:textId="77777777" w:rsidR="000C3AA7" w:rsidRDefault="000C3AA7">
      <w:pPr>
        <w:jc w:val="both"/>
        <w:rPr>
          <w:b/>
        </w:rPr>
      </w:pPr>
    </w:p>
    <w:p w14:paraId="5D28065F" w14:textId="77777777" w:rsidR="00AB4FB0" w:rsidRDefault="00AF25E6">
      <w:pPr>
        <w:jc w:val="both"/>
        <w:rPr>
          <w:b/>
        </w:rPr>
      </w:pPr>
      <w:r>
        <w:rPr>
          <w:b/>
          <w:lang w:val="cs"/>
        </w:rPr>
        <w:t>Léčivá látka:</w:t>
      </w:r>
    </w:p>
    <w:p w14:paraId="6389470C" w14:textId="77777777" w:rsidR="00AB4FB0" w:rsidRDefault="00AF25E6">
      <w:pPr>
        <w:jc w:val="both"/>
        <w:rPr>
          <w:iCs/>
        </w:rPr>
      </w:pPr>
      <w:proofErr w:type="spellStart"/>
      <w:r>
        <w:rPr>
          <w:iCs/>
        </w:rPr>
        <w:t>Robenacoxibum</w:t>
      </w:r>
      <w:proofErr w:type="spellEnd"/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20 mg</w:t>
      </w:r>
    </w:p>
    <w:p w14:paraId="24777DB7" w14:textId="77777777" w:rsidR="00AB4FB0" w:rsidRDefault="00AB4FB0">
      <w:pPr>
        <w:jc w:val="both"/>
        <w:rPr>
          <w:iCs/>
        </w:rPr>
      </w:pPr>
    </w:p>
    <w:p w14:paraId="171E8D9B" w14:textId="77777777" w:rsidR="00AB4FB0" w:rsidRDefault="00AF25E6">
      <w:pPr>
        <w:jc w:val="both"/>
        <w:rPr>
          <w:b/>
          <w:lang w:val="cs"/>
        </w:rPr>
      </w:pPr>
      <w:r>
        <w:rPr>
          <w:b/>
          <w:lang w:val="cs"/>
        </w:rPr>
        <w:t>Pomocné látky:</w:t>
      </w:r>
    </w:p>
    <w:p w14:paraId="0A2B28A9" w14:textId="77777777" w:rsidR="00AB4FB0" w:rsidRDefault="00AF25E6">
      <w:pPr>
        <w:jc w:val="both"/>
      </w:pPr>
      <w:proofErr w:type="spellStart"/>
      <w:r>
        <w:rPr>
          <w:iCs/>
        </w:rPr>
        <w:t>Disiřičitan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sodný</w:t>
      </w:r>
      <w:proofErr w:type="spellEnd"/>
      <w:r>
        <w:rPr>
          <w:iCs/>
        </w:rPr>
        <w:t xml:space="preserve"> (E 223)</w:t>
      </w:r>
      <w:r>
        <w:rPr>
          <w:iCs/>
        </w:rPr>
        <w:tab/>
      </w:r>
      <w:r>
        <w:rPr>
          <w:iCs/>
        </w:rPr>
        <w:tab/>
        <w:t>1 mg</w:t>
      </w:r>
    </w:p>
    <w:p w14:paraId="34C39B76" w14:textId="0DD67BE7" w:rsidR="00AB4FB0" w:rsidRDefault="003B7B2C">
      <w:pPr>
        <w:jc w:val="both"/>
        <w:rPr>
          <w:iCs/>
        </w:rPr>
      </w:pPr>
      <w:r>
        <w:rPr>
          <w:iCs/>
          <w:lang w:val="cs-CZ"/>
        </w:rPr>
        <w:t>Ethanol 96%</w:t>
      </w:r>
      <w:r w:rsidR="00AF25E6">
        <w:rPr>
          <w:iCs/>
        </w:rPr>
        <w:tab/>
      </w:r>
      <w:r w:rsidR="00AF25E6">
        <w:rPr>
          <w:iCs/>
        </w:rPr>
        <w:tab/>
      </w:r>
      <w:r w:rsidR="00AF25E6">
        <w:rPr>
          <w:iCs/>
        </w:rPr>
        <w:tab/>
        <w:t>128 mg</w:t>
      </w:r>
    </w:p>
    <w:p w14:paraId="4F2FBCF5" w14:textId="77777777" w:rsidR="00AB4FB0" w:rsidRDefault="00AB4FB0">
      <w:pPr>
        <w:jc w:val="both"/>
        <w:rPr>
          <w:iCs/>
        </w:rPr>
      </w:pPr>
    </w:p>
    <w:p w14:paraId="7570DA98" w14:textId="17213917" w:rsidR="00AB4FB0" w:rsidRDefault="00AF25E6">
      <w:pPr>
        <w:jc w:val="both"/>
      </w:pPr>
      <w:r>
        <w:rPr>
          <w:lang w:val="cs"/>
        </w:rPr>
        <w:t xml:space="preserve">Čirý, bezbarvý až </w:t>
      </w:r>
      <w:r w:rsidR="000C3AA7">
        <w:rPr>
          <w:lang w:val="cs"/>
        </w:rPr>
        <w:t>slabě hnědo-</w:t>
      </w:r>
      <w:r>
        <w:rPr>
          <w:lang w:val="cs"/>
        </w:rPr>
        <w:t>žlutý roztok.</w:t>
      </w:r>
    </w:p>
    <w:p w14:paraId="057EE006" w14:textId="77777777" w:rsidR="00AB4FB0" w:rsidRDefault="00AB4FB0">
      <w:pPr>
        <w:jc w:val="both"/>
        <w:rPr>
          <w:iCs/>
        </w:rPr>
      </w:pPr>
    </w:p>
    <w:p w14:paraId="6F6501BF" w14:textId="77777777" w:rsidR="00AB4FB0" w:rsidRDefault="00AB4FB0">
      <w:pPr>
        <w:jc w:val="both"/>
      </w:pPr>
    </w:p>
    <w:p w14:paraId="1100E5BD" w14:textId="77777777" w:rsidR="00AB4FB0" w:rsidRDefault="00AF25E6">
      <w:pPr>
        <w:tabs>
          <w:tab w:val="left" w:pos="0"/>
        </w:tabs>
        <w:ind w:left="567" w:hanging="567"/>
        <w:jc w:val="both"/>
        <w:rPr>
          <w:b/>
        </w:rPr>
      </w:pPr>
      <w:r>
        <w:rPr>
          <w:b/>
          <w:highlight w:val="lightGray"/>
          <w:lang w:val="cs"/>
        </w:rPr>
        <w:t>3.</w:t>
      </w:r>
      <w:r>
        <w:rPr>
          <w:b/>
          <w:lang w:val="cs"/>
        </w:rPr>
        <w:tab/>
        <w:t>Cílové druhy zvířat</w:t>
      </w:r>
    </w:p>
    <w:p w14:paraId="6A7A461F" w14:textId="77777777" w:rsidR="00AB4FB0" w:rsidRDefault="00AB4FB0">
      <w:pPr>
        <w:jc w:val="both"/>
      </w:pPr>
    </w:p>
    <w:p w14:paraId="6FE0F185" w14:textId="7DAA4D8A" w:rsidR="00AB4FB0" w:rsidRDefault="00AF25E6">
      <w:pPr>
        <w:jc w:val="both"/>
        <w:rPr>
          <w:lang w:val="cs"/>
        </w:rPr>
      </w:pPr>
      <w:r>
        <w:rPr>
          <w:lang w:val="cs"/>
        </w:rPr>
        <w:t>Kočky a psi</w:t>
      </w:r>
      <w:r w:rsidR="008D43B8">
        <w:rPr>
          <w:lang w:val="cs"/>
        </w:rPr>
        <w:t>.</w:t>
      </w:r>
    </w:p>
    <w:p w14:paraId="239E687D" w14:textId="77777777" w:rsidR="00AB4FB0" w:rsidRDefault="00AB4FB0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</w:p>
    <w:p w14:paraId="0F1B4FEA" w14:textId="77777777" w:rsidR="00AB4FB0" w:rsidRDefault="00AF25E6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sl-SI" w:eastAsia="sl-SI"/>
        </w:rPr>
        <w:drawing>
          <wp:inline distT="0" distB="0" distL="0" distR="0" wp14:anchorId="5855DF3E" wp14:editId="7162366C">
            <wp:extent cx="514350" cy="447675"/>
            <wp:effectExtent l="0" t="0" r="0" b="0"/>
            <wp:docPr id="96989868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5FCEB276" wp14:editId="17A141FF">
            <wp:extent cx="523875" cy="514350"/>
            <wp:effectExtent l="0" t="0" r="0" b="0"/>
            <wp:docPr id="6292676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588F2" w14:textId="77777777" w:rsidR="00AB4FB0" w:rsidRDefault="00AB4FB0">
      <w:pPr>
        <w:jc w:val="both"/>
      </w:pPr>
    </w:p>
    <w:p w14:paraId="0BF36397" w14:textId="77777777" w:rsidR="00AB4FB0" w:rsidRDefault="00AF25E6">
      <w:pPr>
        <w:tabs>
          <w:tab w:val="left" w:pos="0"/>
        </w:tabs>
        <w:ind w:left="567" w:hanging="567"/>
        <w:jc w:val="both"/>
        <w:rPr>
          <w:b/>
        </w:rPr>
      </w:pPr>
      <w:r>
        <w:rPr>
          <w:b/>
          <w:highlight w:val="lightGray"/>
          <w:lang w:val="cs"/>
        </w:rPr>
        <w:t>4.</w:t>
      </w:r>
      <w:r>
        <w:rPr>
          <w:b/>
          <w:lang w:val="cs"/>
        </w:rPr>
        <w:tab/>
        <w:t>Indikace pro použití</w:t>
      </w:r>
    </w:p>
    <w:p w14:paraId="134049C3" w14:textId="77777777" w:rsidR="00AB4FB0" w:rsidRDefault="00AB4FB0">
      <w:pPr>
        <w:jc w:val="both"/>
      </w:pPr>
    </w:p>
    <w:p w14:paraId="245A7045" w14:textId="0E791A9F" w:rsidR="00AB4FB0" w:rsidRDefault="002C353F">
      <w:pPr>
        <w:jc w:val="both"/>
        <w:rPr>
          <w:lang w:val="cs-CZ"/>
        </w:rPr>
      </w:pPr>
      <w:r>
        <w:rPr>
          <w:lang w:val="cs-CZ"/>
        </w:rPr>
        <w:t>L</w:t>
      </w:r>
      <w:r w:rsidR="00AF25E6">
        <w:rPr>
          <w:lang w:val="cs-CZ"/>
        </w:rPr>
        <w:t>éčb</w:t>
      </w:r>
      <w:r>
        <w:rPr>
          <w:lang w:val="cs-CZ"/>
        </w:rPr>
        <w:t>a</w:t>
      </w:r>
      <w:r w:rsidR="00AF25E6">
        <w:rPr>
          <w:lang w:val="cs-CZ"/>
        </w:rPr>
        <w:t xml:space="preserve"> bolesti a zánětu spojených s ortopedickou operací nebo operací měkkých tkání.</w:t>
      </w:r>
    </w:p>
    <w:p w14:paraId="3C91C3E9" w14:textId="77777777" w:rsidR="00AB4FB0" w:rsidRDefault="00AB4FB0">
      <w:pPr>
        <w:autoSpaceDE w:val="0"/>
        <w:autoSpaceDN w:val="0"/>
        <w:adjustRightInd w:val="0"/>
        <w:jc w:val="both"/>
        <w:rPr>
          <w:color w:val="000000"/>
          <w:lang w:eastAsia="sl-SI"/>
        </w:rPr>
      </w:pPr>
    </w:p>
    <w:p w14:paraId="3F158801" w14:textId="77777777" w:rsidR="00AB4FB0" w:rsidRDefault="00AB4FB0">
      <w:pPr>
        <w:jc w:val="both"/>
      </w:pPr>
    </w:p>
    <w:p w14:paraId="380F5758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highlight w:val="lightGray"/>
          <w:lang w:val="cs"/>
        </w:rPr>
        <w:t>5.</w:t>
      </w:r>
      <w:r>
        <w:rPr>
          <w:b/>
          <w:lang w:val="cs"/>
        </w:rPr>
        <w:tab/>
        <w:t>Kontraindikace</w:t>
      </w:r>
    </w:p>
    <w:p w14:paraId="3F96A1A9" w14:textId="77777777" w:rsidR="00AB4FB0" w:rsidRDefault="00AB4FB0">
      <w:pPr>
        <w:jc w:val="both"/>
      </w:pPr>
    </w:p>
    <w:p w14:paraId="10C4B04E" w14:textId="56FEF9D6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Nepoužívat u zvířat </w:t>
      </w:r>
      <w:r w:rsidR="002C353F">
        <w:rPr>
          <w:lang w:val="cs-CZ"/>
        </w:rPr>
        <w:t xml:space="preserve">s </w:t>
      </w:r>
      <w:r>
        <w:rPr>
          <w:lang w:val="cs-CZ"/>
        </w:rPr>
        <w:t xml:space="preserve">vředovou chorobou žaludku a střev. </w:t>
      </w:r>
    </w:p>
    <w:p w14:paraId="64AC66FE" w14:textId="79BE95E4" w:rsidR="00AB4FB0" w:rsidRDefault="00AF25E6">
      <w:pPr>
        <w:jc w:val="both"/>
        <w:rPr>
          <w:lang w:val="cs-CZ"/>
        </w:rPr>
      </w:pPr>
      <w:r>
        <w:rPr>
          <w:lang w:val="cs-CZ"/>
        </w:rPr>
        <w:t>Nepoužívat současně s kortikosteroidy nebo jinými nesteroidními protizánětlivými l</w:t>
      </w:r>
      <w:r w:rsidR="002C353F">
        <w:rPr>
          <w:lang w:val="cs-CZ"/>
        </w:rPr>
        <w:t>átkami</w:t>
      </w:r>
      <w:r>
        <w:rPr>
          <w:lang w:val="cs-CZ"/>
        </w:rPr>
        <w:t xml:space="preserve"> (NSAID). Nepoužívat v případě přecitlivělosti na robenakoxib nebo na některou z pomocných látek. </w:t>
      </w:r>
    </w:p>
    <w:p w14:paraId="44F80320" w14:textId="1F89436A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Nepoužívat během březosti a laktace, protože nebyla stanovena bezpečnost robenakoxibu pro použití během březosti a laktace nebo u </w:t>
      </w:r>
      <w:r w:rsidR="008D43B8">
        <w:rPr>
          <w:lang w:val="cs-CZ"/>
        </w:rPr>
        <w:t>plemenných</w:t>
      </w:r>
      <w:r>
        <w:rPr>
          <w:lang w:val="cs-CZ"/>
        </w:rPr>
        <w:t xml:space="preserve"> koček a psů.</w:t>
      </w:r>
    </w:p>
    <w:p w14:paraId="799CCF31" w14:textId="77777777" w:rsidR="00AB4FB0" w:rsidRDefault="00AB4FB0">
      <w:pPr>
        <w:jc w:val="both"/>
        <w:rPr>
          <w:lang w:val="cs-CZ"/>
        </w:rPr>
      </w:pPr>
    </w:p>
    <w:p w14:paraId="0FC59293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highlight w:val="lightGray"/>
          <w:lang w:val="cs"/>
        </w:rPr>
        <w:t>6.</w:t>
      </w:r>
      <w:r>
        <w:rPr>
          <w:b/>
          <w:lang w:val="cs"/>
        </w:rPr>
        <w:tab/>
        <w:t>Zvláštní upozornění</w:t>
      </w:r>
    </w:p>
    <w:p w14:paraId="2994C9FA" w14:textId="77777777" w:rsidR="00AB4FB0" w:rsidRDefault="00AB4FB0">
      <w:pPr>
        <w:jc w:val="both"/>
        <w:rPr>
          <w:lang w:val="cs-CZ"/>
        </w:rPr>
      </w:pPr>
    </w:p>
    <w:p w14:paraId="4C15349E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 xml:space="preserve">Zvláštní opatření pro bezpečné použití u cílových druhů zvířat: </w:t>
      </w:r>
    </w:p>
    <w:p w14:paraId="64905F19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Bezpečnost veterinárního léčivého přípravku nebyla stanovena u koček mladších než 4 měsíce a u psů mladších než 2 měsíce, ani u koček nebo psů s hmotností nižší než 2,5 kg. Použití u zvířat s narušenou funkcí srdce, ledvin nebo jater, u zvířat dehydratovaných, hypovolemických nebo s nízkým krevním tlakem může být spojeno s dalšími riziky. Pokud se použití nelze vyhnout, pak tato zvířata vyžadují pečlivý monitoring a infuzní terapii. </w:t>
      </w:r>
    </w:p>
    <w:p w14:paraId="119D29C9" w14:textId="77777777" w:rsidR="00AB4FB0" w:rsidRDefault="00AB4FB0">
      <w:pPr>
        <w:jc w:val="both"/>
        <w:rPr>
          <w:lang w:val="cs-CZ"/>
        </w:rPr>
      </w:pPr>
    </w:p>
    <w:p w14:paraId="5558C67B" w14:textId="6FEC0F73" w:rsidR="00AB4FB0" w:rsidRDefault="00AF25E6">
      <w:pPr>
        <w:jc w:val="both"/>
        <w:rPr>
          <w:lang w:val="cs-CZ"/>
        </w:rPr>
      </w:pPr>
      <w:r>
        <w:rPr>
          <w:lang w:val="cs-CZ"/>
        </w:rPr>
        <w:lastRenderedPageBreak/>
        <w:t>Tento veterinární léčivý přípravek používejte pod přísným dohledem vete</w:t>
      </w:r>
      <w:r w:rsidR="008D43B8">
        <w:rPr>
          <w:lang w:val="cs-CZ"/>
        </w:rPr>
        <w:t>rinárního lékaře</w:t>
      </w:r>
      <w:r>
        <w:rPr>
          <w:lang w:val="cs-CZ"/>
        </w:rPr>
        <w:t xml:space="preserve"> v případě zvířat s rizikem vředové choroby žaludku a střev, nebo pokud zvíře již dříve prokázalo nesnášenlivost </w:t>
      </w:r>
      <w:bookmarkStart w:id="0" w:name="_GoBack"/>
      <w:bookmarkEnd w:id="0"/>
      <w:r>
        <w:rPr>
          <w:lang w:val="cs-CZ"/>
        </w:rPr>
        <w:t xml:space="preserve">jiných NSAID. </w:t>
      </w:r>
    </w:p>
    <w:p w14:paraId="49C33AF1" w14:textId="77777777" w:rsidR="00AB4FB0" w:rsidRDefault="00AB4FB0">
      <w:pPr>
        <w:jc w:val="both"/>
        <w:rPr>
          <w:lang w:val="cs-CZ"/>
        </w:rPr>
      </w:pPr>
    </w:p>
    <w:p w14:paraId="61B91CB8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 xml:space="preserve">Zvláštní opatření pro osobu, která podává veterinární léčivý přípravek zvířatům: </w:t>
      </w:r>
    </w:p>
    <w:p w14:paraId="158FB1A3" w14:textId="4E1995BA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U těhotných žen, zvláště před porodem, zvyšuje náhodné sebepoškození injekčně </w:t>
      </w:r>
      <w:r w:rsidR="00097AED">
        <w:rPr>
          <w:lang w:val="cs-CZ"/>
        </w:rPr>
        <w:t xml:space="preserve">podaným </w:t>
      </w:r>
      <w:r>
        <w:rPr>
          <w:lang w:val="cs-CZ"/>
        </w:rPr>
        <w:t xml:space="preserve">přípravkem a dlouhodobý styk přípravku s pokožkou riziko pro plod. </w:t>
      </w:r>
    </w:p>
    <w:p w14:paraId="449E782E" w14:textId="77777777" w:rsidR="00AB4FB0" w:rsidRDefault="00AB4FB0">
      <w:pPr>
        <w:jc w:val="both"/>
        <w:rPr>
          <w:u w:val="single"/>
          <w:lang w:val="cs-CZ"/>
        </w:rPr>
      </w:pPr>
    </w:p>
    <w:p w14:paraId="0E755EDF" w14:textId="77777777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>Po použití veterinárního léčivého přípravku si ihned umyjte ruce a exponovanou kůži.</w:t>
      </w:r>
    </w:p>
    <w:p w14:paraId="47C5428A" w14:textId="67C79989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 xml:space="preserve">V případě náhodného požití, orální expozice (z ruky do úst), prodloužené dermální expozice nebo sebepoškození injekčně </w:t>
      </w:r>
      <w:r w:rsidR="00097AED">
        <w:rPr>
          <w:lang w:val="cs-CZ" w:eastAsia="en-GB"/>
        </w:rPr>
        <w:t xml:space="preserve">podaným </w:t>
      </w:r>
      <w:r>
        <w:rPr>
          <w:lang w:val="cs-CZ" w:eastAsia="en-GB"/>
        </w:rPr>
        <w:t xml:space="preserve">přípravkem vyhledejte </w:t>
      </w:r>
      <w:r w:rsidR="00097AED">
        <w:rPr>
          <w:lang w:val="cs-CZ" w:eastAsia="en-GB"/>
        </w:rPr>
        <w:t xml:space="preserve">ihned </w:t>
      </w:r>
      <w:r>
        <w:rPr>
          <w:lang w:val="cs-CZ" w:eastAsia="en-GB"/>
        </w:rPr>
        <w:t>lékařskou pomoc a ukažte lékaři příbalový leták nebo etiketu.</w:t>
      </w:r>
    </w:p>
    <w:p w14:paraId="75968471" w14:textId="77777777" w:rsidR="00AB4FB0" w:rsidRDefault="00AB4FB0">
      <w:pPr>
        <w:jc w:val="both"/>
        <w:rPr>
          <w:lang w:val="cs-CZ"/>
        </w:rPr>
      </w:pPr>
    </w:p>
    <w:p w14:paraId="2A63DADD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 xml:space="preserve">Interakce s jinými léčivými přípravky a další formy interakce: </w:t>
      </w:r>
    </w:p>
    <w:p w14:paraId="53D014D8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Tento veterinární léčivý přípravek nesmí být podáván v kombinaci s jinými NSAID nebo glukokortikoidy. Předchozí léčba s jinými protizánětlivými léky může vyvolat další nebo zvýšené nežádoucí účinky, proto musí být před začátkem léčby s tímto veterinárním léčivým přípravkem dodrženo období bez léčby obdobnými látkami po dobu nejméně 24 hodin. Nicméně délka období bez léčby musí být zohledněna podle farmakokinetických vlastností již dříve aplikovaných přípravků. </w:t>
      </w:r>
    </w:p>
    <w:p w14:paraId="70BC8406" w14:textId="77777777" w:rsidR="00AB4FB0" w:rsidRDefault="00AB4FB0">
      <w:pPr>
        <w:jc w:val="both"/>
        <w:rPr>
          <w:lang w:val="cs-CZ"/>
        </w:rPr>
      </w:pPr>
    </w:p>
    <w:p w14:paraId="0B21C70E" w14:textId="6F59FDF3" w:rsidR="00AB4FB0" w:rsidRDefault="00AF25E6">
      <w:pPr>
        <w:jc w:val="both"/>
        <w:rPr>
          <w:lang w:val="cs-CZ"/>
        </w:rPr>
      </w:pPr>
      <w:r>
        <w:rPr>
          <w:lang w:val="cs-CZ"/>
        </w:rPr>
        <w:t>Souběžná léčba léky ovlivňujícími průtok ledvinami, např. diuretik</w:t>
      </w:r>
      <w:r w:rsidR="008D43B8">
        <w:rPr>
          <w:lang w:val="cs-CZ"/>
        </w:rPr>
        <w:t>y</w:t>
      </w:r>
      <w:r>
        <w:rPr>
          <w:lang w:val="cs-CZ"/>
        </w:rPr>
        <w:t xml:space="preserve"> nebo inhibitory angiotensin konvertujícího enzymu (ACE), by měla podléhat klinickému dohledu. U zdravých koček nebo psů léčených nebo neléčených diuretikem furosemidem nebylo souběžné podávání tohoto veterinárního léčivého přípravku a ACE inhibitoru benazeprilu po dobu 7 dní spojeno s jakýmkoli negativním účinkem na koncentraci aldosteronu v plazmě (kočky) nebo v moči (psi), na aktivitu reninu v plazmě nebo na rychlost glomerulární filtrace. Obecně neexistují žádné údaje o bezpečnosti v cílové populaci a také žádné údaje o účinnosti pro kombinovanou léčbu robenakoxibem a benazeprilem. </w:t>
      </w:r>
    </w:p>
    <w:p w14:paraId="29DE14B7" w14:textId="77777777" w:rsidR="00AB4FB0" w:rsidRDefault="00AB4FB0">
      <w:pPr>
        <w:jc w:val="both"/>
        <w:rPr>
          <w:lang w:val="cs-CZ"/>
        </w:rPr>
      </w:pPr>
    </w:p>
    <w:p w14:paraId="47CD85E6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Protože anestetika mohou ovlivnit prokrvení ledvin, je třeba zvážit parenterální dodávání tekutin v průběhu zákroku, aby se zamezilo možným ledvinovým komplikacím způsobeným podáváním NSAID v souvislosti s chirurgickým zákrokem. </w:t>
      </w:r>
    </w:p>
    <w:p w14:paraId="3296A518" w14:textId="77777777" w:rsidR="00AB4FB0" w:rsidRDefault="00AB4FB0">
      <w:pPr>
        <w:jc w:val="both"/>
        <w:rPr>
          <w:lang w:val="cs-CZ"/>
        </w:rPr>
      </w:pPr>
    </w:p>
    <w:p w14:paraId="584849B5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Vyhněte se souběžnému podávání potenciálně nefrotoxických látek, které by mohly zvyšovat riziko nefrotoxicity. </w:t>
      </w:r>
    </w:p>
    <w:p w14:paraId="6840833D" w14:textId="77777777" w:rsidR="00AB4FB0" w:rsidRDefault="00AB4FB0">
      <w:pPr>
        <w:jc w:val="both"/>
        <w:rPr>
          <w:lang w:val="cs-CZ"/>
        </w:rPr>
      </w:pPr>
    </w:p>
    <w:p w14:paraId="0DF796E0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Souběžné podávání jiných léčivých látek s vysokým stupněm vazby na proteiny může konkurovat robenakoxibu při navázání, což může vyvolat toxické účinky. </w:t>
      </w:r>
    </w:p>
    <w:p w14:paraId="6E63CF70" w14:textId="77777777" w:rsidR="00AB4FB0" w:rsidRDefault="00AB4FB0">
      <w:pPr>
        <w:jc w:val="both"/>
        <w:rPr>
          <w:lang w:val="cs-CZ"/>
        </w:rPr>
      </w:pPr>
    </w:p>
    <w:p w14:paraId="0619E125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 xml:space="preserve">Březost a laktace: </w:t>
      </w:r>
    </w:p>
    <w:p w14:paraId="29DEF9D2" w14:textId="6FE0E2A4" w:rsidR="00AB4FB0" w:rsidRDefault="00AF25E6">
      <w:pPr>
        <w:jc w:val="both"/>
        <w:rPr>
          <w:lang w:val="cs-CZ"/>
        </w:rPr>
      </w:pPr>
      <w:r>
        <w:rPr>
          <w:lang w:val="cs-CZ"/>
        </w:rPr>
        <w:t>Nebyla stanovena bezpečnost veterinárního léčivého přípravku pro použití během březosti a laktace. Nepoužív</w:t>
      </w:r>
      <w:r w:rsidR="008D43B8">
        <w:rPr>
          <w:lang w:val="cs-CZ"/>
        </w:rPr>
        <w:t>a</w:t>
      </w:r>
      <w:r>
        <w:rPr>
          <w:lang w:val="cs-CZ"/>
        </w:rPr>
        <w:t>t u březích a laktujících zvířat.</w:t>
      </w:r>
    </w:p>
    <w:p w14:paraId="6A22BBA9" w14:textId="77777777" w:rsidR="00AB4FB0" w:rsidRDefault="00AB4FB0">
      <w:pPr>
        <w:jc w:val="both"/>
        <w:rPr>
          <w:lang w:val="cs-CZ"/>
        </w:rPr>
      </w:pPr>
    </w:p>
    <w:p w14:paraId="51864272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 xml:space="preserve">Plodnost: </w:t>
      </w:r>
    </w:p>
    <w:p w14:paraId="26AFF984" w14:textId="7A639523" w:rsidR="00AB4FB0" w:rsidRDefault="008D43B8">
      <w:pPr>
        <w:jc w:val="both"/>
        <w:rPr>
          <w:lang w:val="cs-CZ"/>
        </w:rPr>
      </w:pPr>
      <w:r>
        <w:rPr>
          <w:lang w:val="cs-CZ"/>
        </w:rPr>
        <w:t>Nebyla stanovena b</w:t>
      </w:r>
      <w:r w:rsidR="00AF25E6">
        <w:rPr>
          <w:lang w:val="cs-CZ"/>
        </w:rPr>
        <w:t xml:space="preserve">ezpečnost veterinárního léčivého přípravku </w:t>
      </w:r>
      <w:r>
        <w:rPr>
          <w:lang w:val="cs-CZ"/>
        </w:rPr>
        <w:t xml:space="preserve">pro použití u plemenných </w:t>
      </w:r>
      <w:r w:rsidR="00AF25E6">
        <w:rPr>
          <w:lang w:val="cs-CZ"/>
        </w:rPr>
        <w:t>koček a psů. Nepoužív</w:t>
      </w:r>
      <w:r>
        <w:rPr>
          <w:lang w:val="cs-CZ"/>
        </w:rPr>
        <w:t>a</w:t>
      </w:r>
      <w:r w:rsidR="00AF25E6">
        <w:rPr>
          <w:lang w:val="cs-CZ"/>
        </w:rPr>
        <w:t>t u chovných zvířat.</w:t>
      </w:r>
    </w:p>
    <w:p w14:paraId="4803F839" w14:textId="77777777" w:rsidR="00AB4FB0" w:rsidRDefault="00AB4FB0">
      <w:pPr>
        <w:jc w:val="both"/>
        <w:rPr>
          <w:lang w:val="cs-CZ"/>
        </w:rPr>
      </w:pPr>
    </w:p>
    <w:p w14:paraId="5B56702E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>Předávkování:</w:t>
      </w:r>
    </w:p>
    <w:p w14:paraId="1E1A8DDF" w14:textId="6F691E5A" w:rsidR="00AB4FB0" w:rsidRDefault="00AF25E6">
      <w:pPr>
        <w:jc w:val="both"/>
        <w:rPr>
          <w:lang w:val="cs-CZ"/>
        </w:rPr>
      </w:pPr>
      <w:r>
        <w:rPr>
          <w:lang w:val="cs-CZ"/>
        </w:rPr>
        <w:t>U zdravých psů ve věku 6 měsíců nevykazoval robenakoxib podávaný podkožně jednou denně v dávce 2 (doporučená léčebná dávka; DLD), 6 (3krát DLD) a 20 mg/kg (10krát DLD) v 9 podáních během 5týdenního období (3 cykly 3 po sobě jdoucích injekcí podaných 1</w:t>
      </w:r>
      <w:r w:rsidR="008D43B8">
        <w:rPr>
          <w:lang w:val="cs-CZ"/>
        </w:rPr>
        <w:t>krát</w:t>
      </w:r>
      <w:r>
        <w:rPr>
          <w:lang w:val="cs-CZ"/>
        </w:rPr>
        <w:t xml:space="preserve"> denně) žádné známky toxicity zahrnující projevy gastrointestinální, ledvinové nebo jaterní toxicity a neovlivňoval dobu krvácení. Zanícení místa </w:t>
      </w:r>
      <w:r w:rsidR="002C353F">
        <w:rPr>
          <w:lang w:val="cs-CZ"/>
        </w:rPr>
        <w:t>injekčního podání</w:t>
      </w:r>
      <w:r>
        <w:rPr>
          <w:lang w:val="cs-CZ"/>
        </w:rPr>
        <w:t xml:space="preserve">, které se později vstřebalo, bylo zaznamenáno u všech skupin (včetně kontrol) a silněji se projevilo u skupin, kterým byla podána dávka 6 a 20 mg/kg. </w:t>
      </w:r>
    </w:p>
    <w:p w14:paraId="7BC172D5" w14:textId="77777777" w:rsidR="00AB4FB0" w:rsidRDefault="00AB4FB0">
      <w:pPr>
        <w:jc w:val="both"/>
        <w:rPr>
          <w:lang w:val="cs-CZ"/>
        </w:rPr>
      </w:pPr>
    </w:p>
    <w:p w14:paraId="475F58E1" w14:textId="2EBE5D6E" w:rsidR="00AB4FB0" w:rsidRDefault="00AF25E6">
      <w:pPr>
        <w:jc w:val="both"/>
        <w:rPr>
          <w:lang w:val="cs-CZ"/>
        </w:rPr>
      </w:pPr>
      <w:r>
        <w:rPr>
          <w:lang w:val="cs-CZ"/>
        </w:rPr>
        <w:lastRenderedPageBreak/>
        <w:t xml:space="preserve">U zdravých koček ve věku 10 měsíců nevykazoval robenakoxib podávaný podkožně jednou denně v dávce 4 mg/kg (2krát DLD) 2 po sobě jdoucí dny a 10 mg/kg (5krát DLD) 3 po sobě jdoucí dny žádné známky toxicity zahrnující projevy gastrointestinální, ledvinové nebo jaterní toxicity a neovlivňoval dobu krvácení. Minimální zanícení místa </w:t>
      </w:r>
      <w:r w:rsidR="002C353F">
        <w:rPr>
          <w:lang w:val="cs-CZ"/>
        </w:rPr>
        <w:t>injekčního podání</w:t>
      </w:r>
      <w:r>
        <w:rPr>
          <w:lang w:val="cs-CZ"/>
        </w:rPr>
        <w:t xml:space="preserve">, které se později vstřebalo, bylo zaznamenáno u obou dávkových skupin. </w:t>
      </w:r>
    </w:p>
    <w:p w14:paraId="2FE18130" w14:textId="77777777" w:rsidR="00AB4FB0" w:rsidRDefault="00AB4FB0">
      <w:pPr>
        <w:jc w:val="both"/>
        <w:rPr>
          <w:lang w:val="cs-CZ"/>
        </w:rPr>
      </w:pPr>
    </w:p>
    <w:p w14:paraId="7925D2EB" w14:textId="6DDF8F2E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Střídavé používání veterinárního léčivého přípravku obsahující robenakoxib ve formě tablet a injekčního roztoku u koťat starých 4 měsíce v dávkách do 3násobku maximální doporučené dávky (2,4 mg, 4,8 mg, 7,2 mg </w:t>
      </w:r>
      <w:proofErr w:type="spellStart"/>
      <w:r>
        <w:rPr>
          <w:lang w:val="cs-CZ"/>
        </w:rPr>
        <w:t>robenakoxibu</w:t>
      </w:r>
      <w:proofErr w:type="spellEnd"/>
      <w:r>
        <w:rPr>
          <w:lang w:val="cs-CZ"/>
        </w:rPr>
        <w:t xml:space="preserve">/kg perorálně a 2,0 mg, 4,0 mg a 6,0 mg robenakoxibu/kg subkutánně) vedlo k zvýšení četnosti na dávce závislého sporadického otoku v místě </w:t>
      </w:r>
      <w:r w:rsidR="002C353F">
        <w:rPr>
          <w:lang w:val="cs-CZ"/>
        </w:rPr>
        <w:t xml:space="preserve">injekčního podání </w:t>
      </w:r>
      <w:r>
        <w:rPr>
          <w:lang w:val="cs-CZ"/>
        </w:rPr>
        <w:t xml:space="preserve">a malého až lehkého subakutního/chronického zánětu podkoží. V laboratorních studiích bylo pozorováno na dávce závislé zvýšení QT intervalu, snížení srdeční frekvence a s tím spojené zvýšení dechové frekvence. Nebyl pozorován žádný významný vliv na živou hmotnost, dobu krvácení nebo příznaky toxicity na gastrointestinální trakt, ledviny nebo játra. </w:t>
      </w:r>
    </w:p>
    <w:p w14:paraId="3B198253" w14:textId="77777777" w:rsidR="00AB4FB0" w:rsidRDefault="00AB4FB0">
      <w:pPr>
        <w:jc w:val="both"/>
        <w:rPr>
          <w:lang w:val="cs-CZ"/>
        </w:rPr>
      </w:pPr>
    </w:p>
    <w:p w14:paraId="5CA974DB" w14:textId="3484CF13" w:rsidR="00AB4FB0" w:rsidRDefault="00AF25E6">
      <w:pPr>
        <w:jc w:val="both"/>
        <w:rPr>
          <w:lang w:val="cs-CZ"/>
        </w:rPr>
      </w:pPr>
      <w:r>
        <w:rPr>
          <w:lang w:val="cs-CZ"/>
        </w:rPr>
        <w:t>Ve studiích s předávkováním prováděný</w:t>
      </w:r>
      <w:r w:rsidR="00DB7EF9">
        <w:rPr>
          <w:lang w:val="cs-CZ"/>
        </w:rPr>
        <w:t>ch</w:t>
      </w:r>
      <w:r>
        <w:rPr>
          <w:lang w:val="cs-CZ"/>
        </w:rPr>
        <w:t xml:space="preserve"> u koček došlo ke zvýšení QT intervalu. Biologická významnost zvýšení QT intervalu mimo normální změny pozorované po předávkování robenakoxibem není známá. Po jednorázovém intravenózním podání robenakoxibu v dávce 2 nebo 4 mg/kg zdravým kočkám v anestezii nebyly pozorovány žádné změny QT intervalu. </w:t>
      </w:r>
    </w:p>
    <w:p w14:paraId="6BF4D311" w14:textId="77777777" w:rsidR="00AB4FB0" w:rsidRDefault="00AB4FB0">
      <w:pPr>
        <w:jc w:val="both"/>
        <w:rPr>
          <w:lang w:val="cs-CZ"/>
        </w:rPr>
      </w:pPr>
    </w:p>
    <w:p w14:paraId="2A522764" w14:textId="7AADE65F" w:rsidR="00AB4FB0" w:rsidRDefault="00AF25E6">
      <w:pPr>
        <w:jc w:val="both"/>
        <w:rPr>
          <w:lang w:val="cs-CZ"/>
        </w:rPr>
      </w:pPr>
      <w:r>
        <w:rPr>
          <w:lang w:val="cs-CZ"/>
        </w:rPr>
        <w:t>Střídavé používání veterinárního léčivého přípravku obsahující</w:t>
      </w:r>
      <w:r w:rsidR="00DB7EF9">
        <w:rPr>
          <w:lang w:val="cs-CZ"/>
        </w:rPr>
        <w:t>ho</w:t>
      </w:r>
      <w:r>
        <w:rPr>
          <w:lang w:val="cs-CZ"/>
        </w:rPr>
        <w:t xml:space="preserve"> robenakoxib ve formě tablet a injekčního roztoku u psů kříženců v dávkách do 3násobku maximální doporučené dávky (2,0 mg, 4,0 mg a 6,0 mg plus 4,0 mg, 8,0 mg a 12,0 mg </w:t>
      </w:r>
      <w:proofErr w:type="spellStart"/>
      <w:r>
        <w:rPr>
          <w:lang w:val="cs-CZ"/>
        </w:rPr>
        <w:t>robenakoxibu</w:t>
      </w:r>
      <w:proofErr w:type="spellEnd"/>
      <w:r>
        <w:rPr>
          <w:lang w:val="cs-CZ"/>
        </w:rPr>
        <w:t xml:space="preserve">/kg perorálně a 2,0 mg, 4,0 mg a 6,0 mg robenakoxibu/kg subkutánně) vedlo ke vzniku na dávce závislého otoku, erytému, zesílení kůže a kožního vředu v místě podkožního podání a vzniku zánětu, překrvení nebo </w:t>
      </w:r>
      <w:proofErr w:type="spellStart"/>
      <w:r>
        <w:rPr>
          <w:lang w:val="cs-CZ"/>
        </w:rPr>
        <w:t>krvácenin</w:t>
      </w:r>
      <w:proofErr w:type="spellEnd"/>
      <w:r>
        <w:rPr>
          <w:lang w:val="cs-CZ"/>
        </w:rPr>
        <w:t xml:space="preserve"> v oblasti dvanáctníku, lačníku a slepého střeva. Nebyl pozorován žádný významný vliv na živou hmotnost, dobu krvácení nebo příznaky toxicity na ledviny nebo játra. </w:t>
      </w:r>
    </w:p>
    <w:p w14:paraId="2CBDF6AE" w14:textId="77777777" w:rsidR="00AB4FB0" w:rsidRDefault="00AB4FB0">
      <w:pPr>
        <w:jc w:val="both"/>
        <w:rPr>
          <w:lang w:val="cs-CZ"/>
        </w:rPr>
      </w:pPr>
    </w:p>
    <w:p w14:paraId="0EAD3267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Po jednorázovém subkutánním podání robenakoxibu v dávce 2 mg/kg nebo intravenózním podání v dávce 2 nebo 4 mg/kg zdravým psům nebyly pozorovány žádné změny krevního tlaku nebo EKG. Zvracení se objevilo 6 nebo 8 hodin po aplikaci u dvou z osmi psů, kterým byl podán tento injekční roztok intravenózně v dávce 4 mg/kg. </w:t>
      </w:r>
    </w:p>
    <w:p w14:paraId="25734DF2" w14:textId="77777777" w:rsidR="00AB4FB0" w:rsidRDefault="00AB4FB0">
      <w:pPr>
        <w:jc w:val="both"/>
        <w:rPr>
          <w:lang w:val="cs-CZ"/>
        </w:rPr>
      </w:pPr>
    </w:p>
    <w:p w14:paraId="5381FD0D" w14:textId="5D7490FE" w:rsidR="00AB4FB0" w:rsidRDefault="00AF25E6">
      <w:pPr>
        <w:jc w:val="both"/>
        <w:rPr>
          <w:lang w:val="cs-CZ"/>
        </w:rPr>
      </w:pPr>
      <w:r>
        <w:rPr>
          <w:lang w:val="cs-CZ"/>
        </w:rPr>
        <w:t>Podobně jako u jiných NSAID může předávkování u přecitlivělých nebo nemocí oslabených zvířat způsobit gastrointestinální, ledvinovou nebo jaterní toxicitu. Specifick</w:t>
      </w:r>
      <w:r w:rsidR="00DB7EF9">
        <w:rPr>
          <w:lang w:val="cs-CZ"/>
        </w:rPr>
        <w:t>é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antidot</w:t>
      </w:r>
      <w:r w:rsidR="00DB7EF9">
        <w:rPr>
          <w:lang w:val="cs-CZ"/>
        </w:rPr>
        <w:t>um</w:t>
      </w:r>
      <w:proofErr w:type="spellEnd"/>
      <w:r>
        <w:rPr>
          <w:lang w:val="cs-CZ"/>
        </w:rPr>
        <w:t xml:space="preserve"> ne</w:t>
      </w:r>
      <w:r w:rsidR="00DB7EF9">
        <w:rPr>
          <w:lang w:val="cs-CZ"/>
        </w:rPr>
        <w:t>ní</w:t>
      </w:r>
      <w:r>
        <w:rPr>
          <w:lang w:val="cs-CZ"/>
        </w:rPr>
        <w:t xml:space="preserve">. Je doporučována symptomatická a podpůrná léčba, která by měla zahrnovat podávání gastrointestinálních protektiv a infúzi izotonického fyziologického roztoku. </w:t>
      </w:r>
    </w:p>
    <w:p w14:paraId="3CD5C825" w14:textId="77777777" w:rsidR="00AB4FB0" w:rsidRDefault="00AB4FB0">
      <w:pPr>
        <w:jc w:val="both"/>
        <w:rPr>
          <w:u w:val="single"/>
          <w:lang w:val="cs-CZ"/>
        </w:rPr>
      </w:pPr>
    </w:p>
    <w:p w14:paraId="706C06E9" w14:textId="77777777" w:rsidR="00AB4FB0" w:rsidRDefault="00AF25E6">
      <w:pPr>
        <w:jc w:val="both"/>
        <w:rPr>
          <w:lang w:val="cs-CZ"/>
        </w:rPr>
      </w:pPr>
      <w:r>
        <w:rPr>
          <w:u w:val="single"/>
          <w:lang w:val="cs-CZ"/>
        </w:rPr>
        <w:t xml:space="preserve">Hlavní inkompatibility: </w:t>
      </w:r>
    </w:p>
    <w:p w14:paraId="7B51FFD1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13CFF9C7" w14:textId="77777777" w:rsidR="00AB4FB0" w:rsidRDefault="00AB4FB0">
      <w:pPr>
        <w:jc w:val="both"/>
        <w:rPr>
          <w:lang w:val="cs-CZ"/>
        </w:rPr>
      </w:pPr>
    </w:p>
    <w:p w14:paraId="2CADFCB8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highlight w:val="lightGray"/>
          <w:lang w:val="cs"/>
        </w:rPr>
        <w:t>7.</w:t>
      </w:r>
      <w:r>
        <w:rPr>
          <w:b/>
          <w:lang w:val="cs"/>
        </w:rPr>
        <w:tab/>
        <w:t>Nežádoucí účinky</w:t>
      </w:r>
    </w:p>
    <w:p w14:paraId="29C4E5E1" w14:textId="77777777" w:rsidR="00AB4FB0" w:rsidRDefault="00AB4FB0">
      <w:pPr>
        <w:jc w:val="both"/>
        <w:rPr>
          <w:iCs/>
        </w:rPr>
      </w:pPr>
    </w:p>
    <w:p w14:paraId="01B3A3B6" w14:textId="77777777" w:rsidR="00AB4FB0" w:rsidRDefault="00AF25E6">
      <w:pPr>
        <w:keepNext/>
        <w:jc w:val="both"/>
      </w:pPr>
      <w:r>
        <w:rPr>
          <w:lang w:val="cs"/>
        </w:rPr>
        <w:t>Kočky:</w:t>
      </w:r>
    </w:p>
    <w:p w14:paraId="639C2EB8" w14:textId="77777777" w:rsidR="00AB4FB0" w:rsidRDefault="00AB4FB0">
      <w:pPr>
        <w:keepNext/>
        <w:jc w:val="both"/>
        <w:rPr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7"/>
      </w:tblGrid>
      <w:tr w:rsidR="00AB4FB0" w:rsidRPr="004418E7" w14:paraId="38C2A134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2C1F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Časté</w:t>
            </w:r>
          </w:p>
          <w:p w14:paraId="4FDEABF4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(1 až 10 zvířat/100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91E0" w14:textId="5BEB388A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 xml:space="preserve">Bolest v místě </w:t>
            </w:r>
            <w:r w:rsidR="002C353F">
              <w:rPr>
                <w:lang w:val="cs-CZ" w:eastAsia="en-GB"/>
              </w:rPr>
              <w:t>injekčního podání</w:t>
            </w:r>
          </w:p>
          <w:p w14:paraId="0223F6E0" w14:textId="0C48E6F1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Zažívací potíže</w:t>
            </w:r>
            <w:r>
              <w:rPr>
                <w:vertAlign w:val="superscript"/>
                <w:lang w:val="cs-CZ" w:eastAsia="en-GB"/>
              </w:rPr>
              <w:t>1</w:t>
            </w:r>
            <w:r>
              <w:rPr>
                <w:lang w:val="cs-CZ" w:eastAsia="en-GB"/>
              </w:rPr>
              <w:t xml:space="preserve">, </w:t>
            </w:r>
            <w:r w:rsidR="00DB7EF9">
              <w:rPr>
                <w:lang w:val="cs-CZ" w:eastAsia="en-GB"/>
              </w:rPr>
              <w:t>p</w:t>
            </w:r>
            <w:r>
              <w:rPr>
                <w:lang w:val="cs-CZ" w:eastAsia="en-GB"/>
              </w:rPr>
              <w:t>růjem</w:t>
            </w:r>
            <w:r>
              <w:rPr>
                <w:vertAlign w:val="superscript"/>
                <w:lang w:val="cs-CZ" w:eastAsia="en-GB"/>
              </w:rPr>
              <w:t>1</w:t>
            </w:r>
            <w:r>
              <w:rPr>
                <w:lang w:val="cs-CZ" w:eastAsia="en-GB"/>
              </w:rPr>
              <w:t xml:space="preserve">, </w:t>
            </w:r>
            <w:r w:rsidR="00DB7EF9">
              <w:rPr>
                <w:lang w:val="cs-CZ" w:eastAsia="en-GB"/>
              </w:rPr>
              <w:t>z</w:t>
            </w:r>
            <w:r>
              <w:rPr>
                <w:lang w:val="cs-CZ" w:eastAsia="en-GB"/>
              </w:rPr>
              <w:t>vracení</w:t>
            </w:r>
            <w:r>
              <w:rPr>
                <w:vertAlign w:val="superscript"/>
                <w:lang w:val="cs-CZ" w:eastAsia="en-GB"/>
              </w:rPr>
              <w:t>1</w:t>
            </w:r>
          </w:p>
        </w:tc>
      </w:tr>
      <w:tr w:rsidR="00AB4FB0" w:rsidRPr="004418E7" w14:paraId="2B9F72FE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9B8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Méně časté</w:t>
            </w:r>
          </w:p>
          <w:p w14:paraId="617A5972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(1 až 10 zvířat/1 000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DB2" w14:textId="63D071E8" w:rsidR="00AB4FB0" w:rsidRDefault="00AF25E6">
            <w:pPr>
              <w:tabs>
                <w:tab w:val="left" w:pos="27"/>
              </w:tabs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ab/>
              <w:t xml:space="preserve">Krvavý průjem, </w:t>
            </w:r>
            <w:r w:rsidR="00DB7EF9">
              <w:rPr>
                <w:lang w:val="cs-CZ" w:eastAsia="en-GB"/>
              </w:rPr>
              <w:t>p</w:t>
            </w:r>
            <w:r>
              <w:rPr>
                <w:lang w:val="cs-CZ" w:eastAsia="en-GB"/>
              </w:rPr>
              <w:t>říměs krve ve zvratcích</w:t>
            </w:r>
          </w:p>
        </w:tc>
      </w:tr>
    </w:tbl>
    <w:p w14:paraId="1F0B3F23" w14:textId="77777777" w:rsidR="00AB4FB0" w:rsidRDefault="00AF25E6">
      <w:pPr>
        <w:jc w:val="both"/>
        <w:rPr>
          <w:lang w:val="cs-CZ" w:eastAsia="en-GB"/>
        </w:rPr>
      </w:pPr>
      <w:r>
        <w:rPr>
          <w:vertAlign w:val="superscript"/>
          <w:lang w:val="cs-CZ" w:eastAsia="en-GB"/>
        </w:rPr>
        <w:t>1</w:t>
      </w:r>
      <w:r>
        <w:rPr>
          <w:lang w:val="cs-CZ" w:eastAsia="en-GB"/>
        </w:rPr>
        <w:t>Většina případů byla mírná a k zotavení došlo bez léčby</w:t>
      </w:r>
    </w:p>
    <w:p w14:paraId="0D81D26C" w14:textId="77777777" w:rsidR="00AB4FB0" w:rsidRDefault="00AB4FB0">
      <w:pPr>
        <w:jc w:val="both"/>
        <w:rPr>
          <w:lang w:val="cs-CZ" w:eastAsia="en-GB"/>
        </w:rPr>
      </w:pPr>
    </w:p>
    <w:p w14:paraId="48722F42" w14:textId="77777777" w:rsidR="00AB4FB0" w:rsidRDefault="00AF25E6">
      <w:pPr>
        <w:keepNext/>
        <w:jc w:val="both"/>
        <w:rPr>
          <w:lang w:val="cs-CZ" w:eastAsia="en-GB"/>
        </w:rPr>
      </w:pPr>
      <w:r>
        <w:rPr>
          <w:lang w:val="cs-CZ" w:eastAsia="en-GB"/>
        </w:rPr>
        <w:t>Psi:</w:t>
      </w:r>
    </w:p>
    <w:p w14:paraId="5F8BCF64" w14:textId="77777777" w:rsidR="00AB4FB0" w:rsidRDefault="00AB4FB0">
      <w:pPr>
        <w:keepNext/>
        <w:jc w:val="both"/>
        <w:rPr>
          <w:lang w:val="cs-CZ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7"/>
      </w:tblGrid>
      <w:tr w:rsidR="00AB4FB0" w:rsidRPr="004418E7" w14:paraId="1E9CCB46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160F" w14:textId="77777777" w:rsidR="00AB4FB0" w:rsidRDefault="00AF25E6">
            <w:pPr>
              <w:spacing w:line="240" w:lineRule="auto"/>
              <w:rPr>
                <w:lang w:val="cs-CZ" w:eastAsia="en-GB"/>
              </w:rPr>
            </w:pPr>
            <w:r>
              <w:rPr>
                <w:lang w:val="cs-CZ" w:eastAsia="en-GB"/>
              </w:rPr>
              <w:t>Časté</w:t>
            </w:r>
          </w:p>
          <w:p w14:paraId="457AF20D" w14:textId="77777777" w:rsidR="00AB4FB0" w:rsidRDefault="00AF25E6">
            <w:pPr>
              <w:spacing w:line="240" w:lineRule="auto"/>
              <w:ind w:right="-94"/>
              <w:rPr>
                <w:lang w:val="cs-CZ" w:eastAsia="en-GB"/>
              </w:rPr>
            </w:pPr>
            <w:r>
              <w:rPr>
                <w:lang w:val="cs-CZ" w:eastAsia="en-GB"/>
              </w:rPr>
              <w:lastRenderedPageBreak/>
              <w:t>(1 až 10 zvířat/100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A3D5" w14:textId="4EAEC0A0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lastRenderedPageBreak/>
              <w:t xml:space="preserve">Bolest v místě </w:t>
            </w:r>
            <w:r w:rsidR="002C353F">
              <w:rPr>
                <w:lang w:val="cs-CZ" w:eastAsia="en-GB"/>
              </w:rPr>
              <w:t>injekčního podání</w:t>
            </w:r>
            <w:r>
              <w:rPr>
                <w:vertAlign w:val="superscript"/>
                <w:lang w:val="cs-CZ" w:eastAsia="en-GB"/>
              </w:rPr>
              <w:t>1</w:t>
            </w:r>
            <w:r>
              <w:rPr>
                <w:lang w:val="cs-CZ" w:eastAsia="en-GB"/>
              </w:rPr>
              <w:t xml:space="preserve"> </w:t>
            </w:r>
          </w:p>
          <w:p w14:paraId="7F2DE450" w14:textId="796081D5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lastRenderedPageBreak/>
              <w:t>Zažívací potíže</w:t>
            </w:r>
            <w:r>
              <w:rPr>
                <w:vertAlign w:val="superscript"/>
                <w:lang w:val="cs-CZ" w:eastAsia="en-GB"/>
              </w:rPr>
              <w:t>2</w:t>
            </w:r>
            <w:r>
              <w:rPr>
                <w:lang w:val="cs-CZ" w:eastAsia="en-GB"/>
              </w:rPr>
              <w:t xml:space="preserve">, </w:t>
            </w:r>
            <w:r w:rsidR="00DB7EF9">
              <w:rPr>
                <w:lang w:val="cs-CZ" w:eastAsia="en-GB"/>
              </w:rPr>
              <w:t>p</w:t>
            </w:r>
            <w:r>
              <w:rPr>
                <w:lang w:val="cs-CZ" w:eastAsia="en-GB"/>
              </w:rPr>
              <w:t>růjem</w:t>
            </w:r>
            <w:r>
              <w:rPr>
                <w:vertAlign w:val="superscript"/>
                <w:lang w:val="cs-CZ" w:eastAsia="en-GB"/>
              </w:rPr>
              <w:t>2</w:t>
            </w:r>
            <w:r>
              <w:rPr>
                <w:lang w:val="cs-CZ" w:eastAsia="en-GB"/>
              </w:rPr>
              <w:t xml:space="preserve">, </w:t>
            </w:r>
            <w:r w:rsidR="00DB7EF9">
              <w:rPr>
                <w:lang w:val="cs-CZ" w:eastAsia="en-GB"/>
              </w:rPr>
              <w:t>z</w:t>
            </w:r>
            <w:r>
              <w:rPr>
                <w:lang w:val="cs-CZ" w:eastAsia="en-GB"/>
              </w:rPr>
              <w:t>vracení</w:t>
            </w:r>
            <w:r>
              <w:rPr>
                <w:vertAlign w:val="superscript"/>
                <w:lang w:val="cs-CZ" w:eastAsia="en-GB"/>
              </w:rPr>
              <w:t>2</w:t>
            </w:r>
          </w:p>
        </w:tc>
      </w:tr>
      <w:tr w:rsidR="00AB4FB0" w:rsidRPr="004418E7" w14:paraId="474376FB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9CD" w14:textId="77777777" w:rsidR="00AB4FB0" w:rsidRDefault="00AF25E6">
            <w:pPr>
              <w:spacing w:line="240" w:lineRule="auto"/>
              <w:rPr>
                <w:lang w:val="cs-CZ" w:eastAsia="en-GB"/>
              </w:rPr>
            </w:pPr>
            <w:r>
              <w:rPr>
                <w:lang w:val="cs-CZ" w:eastAsia="en-GB"/>
              </w:rPr>
              <w:lastRenderedPageBreak/>
              <w:t>Méně časté</w:t>
            </w:r>
          </w:p>
          <w:p w14:paraId="2531D7E2" w14:textId="77777777" w:rsidR="00AB4FB0" w:rsidRDefault="00AF25E6">
            <w:pPr>
              <w:spacing w:line="240" w:lineRule="auto"/>
              <w:ind w:right="-236"/>
              <w:rPr>
                <w:lang w:val="cs-CZ" w:eastAsia="en-GB"/>
              </w:rPr>
            </w:pPr>
            <w:r>
              <w:rPr>
                <w:lang w:val="cs-CZ" w:eastAsia="en-GB"/>
              </w:rPr>
              <w:t>(1 až 10 zvířat/1 000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B9A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 xml:space="preserve">Meléna </w:t>
            </w:r>
          </w:p>
          <w:p w14:paraId="52169448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Snížená chuť k jídlu</w:t>
            </w:r>
          </w:p>
        </w:tc>
      </w:tr>
    </w:tbl>
    <w:p w14:paraId="02385973" w14:textId="0661B567" w:rsidR="00AB4FB0" w:rsidRDefault="00AF25E6">
      <w:pPr>
        <w:jc w:val="both"/>
        <w:rPr>
          <w:lang w:val="cs-CZ" w:eastAsia="en-GB"/>
        </w:rPr>
      </w:pPr>
      <w:r>
        <w:rPr>
          <w:vertAlign w:val="superscript"/>
          <w:lang w:val="cs-CZ" w:eastAsia="en-GB"/>
        </w:rPr>
        <w:t>1</w:t>
      </w:r>
      <w:r>
        <w:rPr>
          <w:lang w:val="cs-CZ" w:eastAsia="en-GB"/>
        </w:rPr>
        <w:t xml:space="preserve">Středně silná nebo silná bolest v místě </w:t>
      </w:r>
      <w:r w:rsidR="002C353F">
        <w:rPr>
          <w:lang w:val="cs-CZ" w:eastAsia="en-GB"/>
        </w:rPr>
        <w:t xml:space="preserve">injekčního podání </w:t>
      </w:r>
      <w:r>
        <w:rPr>
          <w:lang w:val="cs-CZ" w:eastAsia="en-GB"/>
        </w:rPr>
        <w:t xml:space="preserve">byla méně častá. </w:t>
      </w:r>
    </w:p>
    <w:p w14:paraId="46CC3139" w14:textId="77777777" w:rsidR="00AB4FB0" w:rsidRDefault="00AF25E6">
      <w:pPr>
        <w:jc w:val="both"/>
        <w:rPr>
          <w:lang w:val="cs-CZ" w:eastAsia="en-GB"/>
        </w:rPr>
      </w:pPr>
      <w:r>
        <w:rPr>
          <w:vertAlign w:val="superscript"/>
          <w:lang w:val="cs-CZ" w:eastAsia="en-GB"/>
        </w:rPr>
        <w:t>2</w:t>
      </w:r>
      <w:r>
        <w:rPr>
          <w:lang w:val="cs-CZ" w:eastAsia="en-GB"/>
        </w:rPr>
        <w:t>Většina případů byla mírná a k zotavení došlo bez léčby</w:t>
      </w:r>
    </w:p>
    <w:p w14:paraId="22892423" w14:textId="77777777" w:rsidR="00AB4FB0" w:rsidRDefault="00AB4FB0">
      <w:pPr>
        <w:jc w:val="both"/>
        <w:rPr>
          <w:iCs/>
          <w:lang w:val="cs-CZ"/>
        </w:rPr>
      </w:pPr>
    </w:p>
    <w:p w14:paraId="023C27B0" w14:textId="77777777" w:rsidR="00AB4FB0" w:rsidRDefault="00AF25E6">
      <w:pPr>
        <w:jc w:val="both"/>
        <w:rPr>
          <w:noProof/>
          <w:lang w:val="cs-CZ"/>
        </w:rPr>
      </w:pPr>
      <w:r>
        <w:rPr>
          <w:noProof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58CB3DAA" w14:textId="77777777" w:rsidR="00AB4FB0" w:rsidRDefault="00AB4FB0">
      <w:pPr>
        <w:jc w:val="both"/>
        <w:rPr>
          <w:noProof/>
          <w:lang w:val="cs-CZ"/>
        </w:rPr>
      </w:pPr>
    </w:p>
    <w:p w14:paraId="08097B7B" w14:textId="77777777" w:rsidR="00AB4FB0" w:rsidRDefault="00AF25E6">
      <w:pPr>
        <w:jc w:val="both"/>
        <w:rPr>
          <w:noProof/>
          <w:lang w:val="cs-CZ"/>
        </w:rPr>
      </w:pPr>
      <w:r>
        <w:rPr>
          <w:noProof/>
          <w:lang w:val="cs-CZ"/>
        </w:rPr>
        <w:t>Ústav pro státní kontrolu veterinárních biopreparátů a léčiv</w:t>
      </w:r>
    </w:p>
    <w:p w14:paraId="6ED2C432" w14:textId="6D78EEFB" w:rsidR="00AB4FB0" w:rsidRDefault="00AF25E6">
      <w:pPr>
        <w:jc w:val="both"/>
        <w:rPr>
          <w:noProof/>
          <w:lang w:val="cs-CZ"/>
        </w:rPr>
      </w:pPr>
      <w:r>
        <w:rPr>
          <w:noProof/>
          <w:lang w:val="cs-CZ"/>
        </w:rPr>
        <w:t xml:space="preserve">Hudcova 232/56a </w:t>
      </w:r>
    </w:p>
    <w:p w14:paraId="26BD99F1" w14:textId="77777777" w:rsidR="00AB4FB0" w:rsidRDefault="00AF25E6">
      <w:pPr>
        <w:jc w:val="both"/>
        <w:rPr>
          <w:noProof/>
          <w:lang w:val="cs-CZ"/>
        </w:rPr>
      </w:pPr>
      <w:r>
        <w:rPr>
          <w:noProof/>
          <w:lang w:val="cs-CZ"/>
        </w:rPr>
        <w:t>621 00 Brno</w:t>
      </w:r>
    </w:p>
    <w:p w14:paraId="52C77C0E" w14:textId="537506B9" w:rsidR="00AB4FB0" w:rsidRDefault="00DB7EF9">
      <w:pPr>
        <w:jc w:val="both"/>
        <w:rPr>
          <w:noProof/>
          <w:lang w:val="cs-CZ"/>
        </w:rPr>
      </w:pPr>
      <w:r>
        <w:rPr>
          <w:noProof/>
          <w:lang w:val="cs-CZ"/>
        </w:rPr>
        <w:t>e</w:t>
      </w:r>
      <w:r w:rsidR="00AF25E6">
        <w:rPr>
          <w:noProof/>
          <w:lang w:val="cs-CZ"/>
        </w:rPr>
        <w:t xml:space="preserve">-mail: </w:t>
      </w:r>
      <w:hyperlink r:id="rId10" w:history="1">
        <w:r w:rsidR="00AF25E6">
          <w:rPr>
            <w:noProof/>
            <w:lang w:val="cs-CZ"/>
          </w:rPr>
          <w:t>adr@uskvbl.cz</w:t>
        </w:r>
      </w:hyperlink>
      <w:r>
        <w:rPr>
          <w:noProof/>
          <w:lang w:val="cs-CZ"/>
        </w:rPr>
        <w:t xml:space="preserve"> </w:t>
      </w:r>
    </w:p>
    <w:p w14:paraId="10F1988A" w14:textId="147E6185" w:rsidR="00DB7EF9" w:rsidRPr="00B871C8" w:rsidRDefault="00DB7EF9" w:rsidP="00B871C8">
      <w:pPr>
        <w:spacing w:line="240" w:lineRule="auto"/>
        <w:rPr>
          <w:lang w:val="cs-CZ"/>
        </w:rPr>
      </w:pPr>
      <w:r w:rsidRPr="00B871C8">
        <w:rPr>
          <w:lang w:val="cs-CZ"/>
        </w:rPr>
        <w:t>tel.: +420 720 940 693</w:t>
      </w:r>
    </w:p>
    <w:p w14:paraId="49EF0631" w14:textId="4D0BCD2E" w:rsidR="00AB4FB0" w:rsidRDefault="00AF25E6">
      <w:pPr>
        <w:jc w:val="both"/>
        <w:rPr>
          <w:noProof/>
          <w:lang w:val="cs-CZ"/>
        </w:rPr>
      </w:pPr>
      <w:r>
        <w:rPr>
          <w:noProof/>
          <w:lang w:val="cs-CZ"/>
        </w:rPr>
        <w:t xml:space="preserve">Webové stránky: </w:t>
      </w:r>
      <w:hyperlink r:id="rId11" w:history="1">
        <w:r>
          <w:rPr>
            <w:noProof/>
            <w:lang w:val="cs-CZ"/>
          </w:rPr>
          <w:t>http://www.uskvbl.cz/cs/farmakovigilance</w:t>
        </w:r>
      </w:hyperlink>
    </w:p>
    <w:p w14:paraId="71CD6F39" w14:textId="77777777" w:rsidR="00AB4FB0" w:rsidRPr="00B871C8" w:rsidRDefault="00AB4FB0">
      <w:pPr>
        <w:jc w:val="both"/>
        <w:rPr>
          <w:iCs/>
          <w:lang w:val="cs-CZ"/>
        </w:rPr>
      </w:pPr>
    </w:p>
    <w:p w14:paraId="7130CD59" w14:textId="77777777" w:rsidR="00AB4FB0" w:rsidRPr="00B871C8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highlight w:val="lightGray"/>
          <w:lang w:val="cs"/>
        </w:rPr>
        <w:t>8.</w:t>
      </w:r>
      <w:r>
        <w:rPr>
          <w:b/>
          <w:lang w:val="cs"/>
        </w:rPr>
        <w:tab/>
        <w:t>Dávkování pro každý druh, cesty a způsob podání</w:t>
      </w:r>
    </w:p>
    <w:p w14:paraId="7842C20B" w14:textId="77777777" w:rsidR="00AB4FB0" w:rsidRPr="00B871C8" w:rsidRDefault="00AB4FB0">
      <w:pPr>
        <w:jc w:val="both"/>
        <w:rPr>
          <w:lang w:val="cs-CZ"/>
        </w:rPr>
      </w:pPr>
    </w:p>
    <w:p w14:paraId="341B23CC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Subkutánní podání (</w:t>
      </w:r>
      <w:proofErr w:type="spellStart"/>
      <w:r>
        <w:rPr>
          <w:lang w:val="cs-CZ"/>
        </w:rPr>
        <w:t>s.c</w:t>
      </w:r>
      <w:proofErr w:type="spellEnd"/>
      <w:r>
        <w:rPr>
          <w:lang w:val="cs-CZ"/>
        </w:rPr>
        <w:t xml:space="preserve">.). </w:t>
      </w:r>
    </w:p>
    <w:p w14:paraId="10391012" w14:textId="77777777" w:rsidR="00AB4FB0" w:rsidRDefault="00AB4FB0">
      <w:pPr>
        <w:jc w:val="both"/>
        <w:rPr>
          <w:lang w:val="cs-CZ"/>
        </w:rPr>
      </w:pPr>
    </w:p>
    <w:p w14:paraId="782A3689" w14:textId="6A006A91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Doporučená dávka je 2 mg </w:t>
      </w:r>
      <w:proofErr w:type="spellStart"/>
      <w:r>
        <w:rPr>
          <w:lang w:val="cs-CZ"/>
        </w:rPr>
        <w:t>robena</w:t>
      </w:r>
      <w:r w:rsidR="00E2554D">
        <w:rPr>
          <w:lang w:val="cs-CZ"/>
        </w:rPr>
        <w:t>k</w:t>
      </w:r>
      <w:r>
        <w:rPr>
          <w:lang w:val="cs-CZ"/>
        </w:rPr>
        <w:t>oxibu</w:t>
      </w:r>
      <w:proofErr w:type="spellEnd"/>
      <w:r>
        <w:rPr>
          <w:lang w:val="cs-CZ"/>
        </w:rPr>
        <w:t xml:space="preserve">/kg </w:t>
      </w:r>
      <w:r w:rsidR="00E2554D">
        <w:rPr>
          <w:lang w:val="cs-CZ"/>
        </w:rPr>
        <w:t>živ</w:t>
      </w:r>
      <w:r>
        <w:rPr>
          <w:lang w:val="cs-CZ"/>
        </w:rPr>
        <w:t>é hmotnosti (1 ml veterinárního léčivého přípravku</w:t>
      </w:r>
      <w:r w:rsidR="00E2554D">
        <w:rPr>
          <w:lang w:val="cs-CZ"/>
        </w:rPr>
        <w:t>/</w:t>
      </w:r>
      <w:r>
        <w:rPr>
          <w:lang w:val="cs-CZ"/>
        </w:rPr>
        <w:t xml:space="preserve">10 kg </w:t>
      </w:r>
      <w:r w:rsidR="00E2554D">
        <w:rPr>
          <w:lang w:val="cs-CZ"/>
        </w:rPr>
        <w:t>živ</w:t>
      </w:r>
      <w:r>
        <w:rPr>
          <w:lang w:val="cs-CZ"/>
        </w:rPr>
        <w:t>é hmotnosti).</w:t>
      </w:r>
    </w:p>
    <w:p w14:paraId="067B2839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Veterinární léčivý přípravek podávejte přibližně 30 minut před zahájením operace, například přibližně v době indukce celkové anestezie.</w:t>
      </w:r>
    </w:p>
    <w:p w14:paraId="3DC2CF53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Po operaci u koček lze v léčbě jednou denně pokračovat ve stejné dávce a každý den ve stejnou dobu po dobu až 2 dnů.</w:t>
      </w:r>
    </w:p>
    <w:p w14:paraId="75987AF7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Po operaci měkkých tkání u psů lze v léčbě jednou denně pokračovat ve stejné dávce a každý den ve stejnou dobu po dobu až 2 dnů.</w:t>
      </w:r>
    </w:p>
    <w:p w14:paraId="75B2516F" w14:textId="2D051F35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Zaměnitelnost veterinárních léčivých přípravků obsahujících </w:t>
      </w:r>
      <w:proofErr w:type="spellStart"/>
      <w:r>
        <w:rPr>
          <w:lang w:val="cs-CZ"/>
        </w:rPr>
        <w:t>robena</w:t>
      </w:r>
      <w:r w:rsidR="00E2554D">
        <w:rPr>
          <w:lang w:val="cs-CZ"/>
        </w:rPr>
        <w:t>k</w:t>
      </w:r>
      <w:r>
        <w:rPr>
          <w:lang w:val="cs-CZ"/>
        </w:rPr>
        <w:t>oxib</w:t>
      </w:r>
      <w:proofErr w:type="spellEnd"/>
      <w:r>
        <w:rPr>
          <w:lang w:val="cs-CZ"/>
        </w:rPr>
        <w:t xml:space="preserve"> ve formě tablet a injekčního roztoku byla testována ve studiích bezpečnosti u cílových zvířat a byla prokázána dobrá snášenlivost u koček i psů.</w:t>
      </w:r>
    </w:p>
    <w:p w14:paraId="54EB0B54" w14:textId="77777777" w:rsidR="00AB4FB0" w:rsidRDefault="00AB4FB0">
      <w:pPr>
        <w:jc w:val="both"/>
        <w:rPr>
          <w:lang w:val="cs-CZ"/>
        </w:rPr>
      </w:pPr>
    </w:p>
    <w:p w14:paraId="581E8708" w14:textId="388B08A0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Veterinární léčivé přípravky obsahující </w:t>
      </w:r>
      <w:proofErr w:type="spellStart"/>
      <w:r>
        <w:rPr>
          <w:lang w:val="cs-CZ"/>
        </w:rPr>
        <w:t>robena</w:t>
      </w:r>
      <w:r w:rsidR="00E2554D">
        <w:rPr>
          <w:lang w:val="cs-CZ"/>
        </w:rPr>
        <w:t>k</w:t>
      </w:r>
      <w:r>
        <w:rPr>
          <w:lang w:val="cs-CZ"/>
        </w:rPr>
        <w:t>oxib</w:t>
      </w:r>
      <w:proofErr w:type="spellEnd"/>
      <w:r>
        <w:rPr>
          <w:lang w:val="cs-CZ"/>
        </w:rPr>
        <w:t xml:space="preserve"> ve formě injekčního roztoku nebo tablet lze používat zaměnitelně v souladu s indikacemi a návodem k použití schválenými pro každou lékovou formu. Léčba by neměla překročit jednu dávku (tabletu nebo injekci) denně. Upozorňujeme, že doporučené dávky pro obě lékové formy se mohou lišit.</w:t>
      </w:r>
    </w:p>
    <w:p w14:paraId="262F1EDE" w14:textId="77777777" w:rsidR="00AB4FB0" w:rsidRDefault="00AB4FB0">
      <w:pPr>
        <w:jc w:val="both"/>
        <w:rPr>
          <w:lang w:val="cs-CZ"/>
        </w:rPr>
      </w:pPr>
    </w:p>
    <w:p w14:paraId="78BFDFC5" w14:textId="5B9B6CEC" w:rsidR="00AB4FB0" w:rsidRDefault="00AF25E6">
      <w:pPr>
        <w:jc w:val="both"/>
        <w:rPr>
          <w:lang w:val="cs-CZ"/>
        </w:rPr>
      </w:pPr>
      <w:r>
        <w:rPr>
          <w:lang w:val="cs-CZ"/>
        </w:rPr>
        <w:t>Zátk</w:t>
      </w:r>
      <w:r w:rsidR="00E2554D">
        <w:rPr>
          <w:lang w:val="cs-CZ"/>
        </w:rPr>
        <w:t>u</w:t>
      </w:r>
      <w:r>
        <w:rPr>
          <w:lang w:val="cs-CZ"/>
        </w:rPr>
        <w:t xml:space="preserve"> </w:t>
      </w:r>
      <w:r w:rsidR="00E2554D">
        <w:rPr>
          <w:lang w:val="cs-CZ"/>
        </w:rPr>
        <w:t>lze</w:t>
      </w:r>
      <w:r>
        <w:rPr>
          <w:lang w:val="cs-CZ"/>
        </w:rPr>
        <w:t xml:space="preserve"> propíchn</w:t>
      </w:r>
      <w:r w:rsidR="00E2554D">
        <w:rPr>
          <w:lang w:val="cs-CZ"/>
        </w:rPr>
        <w:t>o</w:t>
      </w:r>
      <w:r>
        <w:rPr>
          <w:lang w:val="cs-CZ"/>
        </w:rPr>
        <w:t>ut max</w:t>
      </w:r>
      <w:r w:rsidR="00E2554D">
        <w:rPr>
          <w:lang w:val="cs-CZ"/>
        </w:rPr>
        <w:t>.</w:t>
      </w:r>
      <w:r>
        <w:rPr>
          <w:lang w:val="cs-CZ"/>
        </w:rPr>
        <w:t xml:space="preserve"> 16krát.</w:t>
      </w:r>
    </w:p>
    <w:p w14:paraId="73F88073" w14:textId="77777777" w:rsidR="00AB4FB0" w:rsidRDefault="00AB4FB0">
      <w:pPr>
        <w:jc w:val="both"/>
        <w:rPr>
          <w:lang w:val="cs-CZ"/>
        </w:rPr>
      </w:pPr>
    </w:p>
    <w:p w14:paraId="1F64AD99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highlight w:val="lightGray"/>
          <w:lang w:val="cs"/>
        </w:rPr>
        <w:t>9.</w:t>
      </w:r>
      <w:r>
        <w:rPr>
          <w:b/>
          <w:lang w:val="cs"/>
        </w:rPr>
        <w:tab/>
        <w:t>Pokyny pro správné podání</w:t>
      </w:r>
    </w:p>
    <w:p w14:paraId="746476C2" w14:textId="77777777" w:rsidR="00AB4FB0" w:rsidRDefault="00AB4FB0">
      <w:pPr>
        <w:jc w:val="both"/>
      </w:pPr>
    </w:p>
    <w:p w14:paraId="4D2CE8D0" w14:textId="77777777" w:rsidR="00AB4FB0" w:rsidRDefault="00AF25E6">
      <w:pPr>
        <w:jc w:val="both"/>
        <w:rPr>
          <w:iCs/>
          <w:lang w:val="cs-CZ"/>
        </w:rPr>
      </w:pPr>
      <w:r>
        <w:rPr>
          <w:iCs/>
          <w:lang w:val="cs-CZ"/>
        </w:rPr>
        <w:t>Nejsou.</w:t>
      </w:r>
    </w:p>
    <w:p w14:paraId="4EEC429C" w14:textId="77777777" w:rsidR="00AB4FB0" w:rsidRDefault="00AB4FB0">
      <w:pPr>
        <w:jc w:val="both"/>
        <w:rPr>
          <w:iCs/>
        </w:rPr>
      </w:pPr>
    </w:p>
    <w:p w14:paraId="58C44CB6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highlight w:val="lightGray"/>
          <w:lang w:val="cs"/>
        </w:rPr>
        <w:t>10.</w:t>
      </w:r>
      <w:r>
        <w:rPr>
          <w:b/>
          <w:lang w:val="cs"/>
        </w:rPr>
        <w:tab/>
        <w:t>Ochranné lhůty</w:t>
      </w:r>
    </w:p>
    <w:p w14:paraId="7DBFCD7C" w14:textId="77777777" w:rsidR="00AB4FB0" w:rsidRDefault="00AB4FB0">
      <w:pPr>
        <w:jc w:val="both"/>
        <w:rPr>
          <w:iCs/>
        </w:rPr>
      </w:pPr>
    </w:p>
    <w:p w14:paraId="423B196A" w14:textId="77777777" w:rsidR="00AB4FB0" w:rsidRDefault="00AF25E6">
      <w:pPr>
        <w:jc w:val="both"/>
      </w:pPr>
      <w:r>
        <w:rPr>
          <w:lang w:val="cs"/>
        </w:rPr>
        <w:t>Neuplatňuje se.</w:t>
      </w:r>
    </w:p>
    <w:p w14:paraId="704ACBA6" w14:textId="77777777" w:rsidR="00AB4FB0" w:rsidRDefault="00AB4FB0">
      <w:pPr>
        <w:jc w:val="both"/>
        <w:rPr>
          <w:iCs/>
        </w:rPr>
      </w:pPr>
    </w:p>
    <w:p w14:paraId="00739ED6" w14:textId="77777777" w:rsidR="00AB4FB0" w:rsidRDefault="00AB4FB0">
      <w:pPr>
        <w:jc w:val="both"/>
        <w:rPr>
          <w:iCs/>
        </w:rPr>
      </w:pPr>
    </w:p>
    <w:p w14:paraId="6EA13136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highlight w:val="lightGray"/>
          <w:lang w:val="cs"/>
        </w:rPr>
        <w:t>11.</w:t>
      </w:r>
      <w:r>
        <w:rPr>
          <w:b/>
          <w:lang w:val="cs"/>
        </w:rPr>
        <w:tab/>
        <w:t>Zvláštní opatření pro uchovávání</w:t>
      </w:r>
    </w:p>
    <w:p w14:paraId="38E9CAAC" w14:textId="77777777" w:rsidR="00AB4FB0" w:rsidRDefault="00AB4FB0">
      <w:pPr>
        <w:numPr>
          <w:ilvl w:val="12"/>
          <w:numId w:val="0"/>
        </w:numPr>
        <w:jc w:val="both"/>
      </w:pPr>
    </w:p>
    <w:p w14:paraId="7C10F6A2" w14:textId="77777777" w:rsidR="00AB4FB0" w:rsidRDefault="00AF25E6">
      <w:pPr>
        <w:numPr>
          <w:ilvl w:val="12"/>
          <w:numId w:val="0"/>
        </w:numPr>
        <w:jc w:val="both"/>
      </w:pPr>
      <w:r>
        <w:rPr>
          <w:lang w:val="cs"/>
        </w:rPr>
        <w:t>Uchovávejte mimo dohled a dosah dětí.</w:t>
      </w:r>
    </w:p>
    <w:p w14:paraId="75EB203F" w14:textId="77777777" w:rsidR="00AB4FB0" w:rsidRDefault="00AB4FB0">
      <w:pPr>
        <w:jc w:val="both"/>
      </w:pPr>
    </w:p>
    <w:p w14:paraId="5840FF54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Uchovávejte v chladničce (2–8 °C).</w:t>
      </w:r>
    </w:p>
    <w:p w14:paraId="50902FD4" w14:textId="6685BE30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Po prvním otevření lahvičky </w:t>
      </w:r>
      <w:r w:rsidR="00EB5B84">
        <w:rPr>
          <w:lang w:val="cs-CZ"/>
        </w:rPr>
        <w:t xml:space="preserve">uchovávejte </w:t>
      </w:r>
      <w:r>
        <w:rPr>
          <w:lang w:val="cs-CZ"/>
        </w:rPr>
        <w:t>při teplotě do 25 °C.</w:t>
      </w:r>
    </w:p>
    <w:p w14:paraId="4687AA96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Uchovávejte v původním obalu, aby byl přípravek chráněn před světlem.</w:t>
      </w:r>
    </w:p>
    <w:p w14:paraId="5DA81CC6" w14:textId="77777777" w:rsidR="00AB4FB0" w:rsidRDefault="00AB4FB0">
      <w:pPr>
        <w:numPr>
          <w:ilvl w:val="12"/>
          <w:numId w:val="0"/>
        </w:numPr>
        <w:jc w:val="both"/>
        <w:rPr>
          <w:lang w:val="cs-CZ"/>
        </w:rPr>
      </w:pPr>
    </w:p>
    <w:p w14:paraId="1564C16F" w14:textId="33DE31A6" w:rsidR="00AB4FB0" w:rsidRDefault="00AF25E6">
      <w:pPr>
        <w:tabs>
          <w:tab w:val="left" w:pos="0"/>
        </w:tabs>
        <w:jc w:val="both"/>
        <w:rPr>
          <w:lang w:val="cs-CZ"/>
        </w:rPr>
      </w:pPr>
      <w:r>
        <w:rPr>
          <w:lang w:val="cs"/>
        </w:rPr>
        <w:t xml:space="preserve">Nepoužívejte tento veterinární léčivý přípravek po uplynutí doby použitelnosti uvedené na </w:t>
      </w:r>
      <w:r w:rsidR="00EB5B84">
        <w:rPr>
          <w:lang w:val="cs"/>
        </w:rPr>
        <w:t>obalu</w:t>
      </w:r>
      <w:r>
        <w:rPr>
          <w:lang w:val="cs-CZ"/>
        </w:rPr>
        <w:t xml:space="preserve"> za Exp. Doba použitelnosti končí posledním dnem v uvedeném měsíci.</w:t>
      </w:r>
    </w:p>
    <w:p w14:paraId="555D6935" w14:textId="77777777" w:rsidR="00AB4FB0" w:rsidRDefault="00AB4FB0">
      <w:pPr>
        <w:tabs>
          <w:tab w:val="left" w:pos="0"/>
        </w:tabs>
        <w:jc w:val="both"/>
        <w:rPr>
          <w:lang w:val="cs-CZ"/>
        </w:rPr>
      </w:pPr>
    </w:p>
    <w:p w14:paraId="7B9A04B2" w14:textId="77777777" w:rsidR="00AB4FB0" w:rsidRDefault="00AF25E6">
      <w:pPr>
        <w:tabs>
          <w:tab w:val="left" w:pos="0"/>
        </w:tabs>
        <w:jc w:val="both"/>
        <w:rPr>
          <w:lang w:val="cs-CZ"/>
        </w:rPr>
      </w:pPr>
      <w:r>
        <w:rPr>
          <w:lang w:val="cs-CZ"/>
        </w:rPr>
        <w:t>Doba použitelnosti po prvním otevření lahvičky: 28 dní.</w:t>
      </w:r>
    </w:p>
    <w:p w14:paraId="5EB316D3" w14:textId="77777777" w:rsidR="00AB4FB0" w:rsidRDefault="00AB4FB0">
      <w:pPr>
        <w:numPr>
          <w:ilvl w:val="12"/>
          <w:numId w:val="0"/>
        </w:numPr>
        <w:jc w:val="both"/>
        <w:rPr>
          <w:lang w:val="cs-CZ"/>
        </w:rPr>
      </w:pPr>
    </w:p>
    <w:p w14:paraId="177F87BA" w14:textId="77777777" w:rsidR="00AB4FB0" w:rsidRDefault="00AB4FB0">
      <w:pPr>
        <w:jc w:val="both"/>
        <w:rPr>
          <w:lang w:val="cs-CZ"/>
        </w:rPr>
      </w:pPr>
    </w:p>
    <w:p w14:paraId="1286B3B4" w14:textId="77777777" w:rsidR="00AB4FB0" w:rsidRDefault="00AF25E6">
      <w:pPr>
        <w:keepNext/>
        <w:tabs>
          <w:tab w:val="left" w:pos="0"/>
        </w:tabs>
        <w:ind w:left="567" w:hanging="567"/>
        <w:jc w:val="both"/>
        <w:rPr>
          <w:b/>
          <w:lang w:val="cs-CZ"/>
        </w:rPr>
      </w:pPr>
      <w:r>
        <w:rPr>
          <w:b/>
          <w:highlight w:val="lightGray"/>
          <w:lang w:val="cs"/>
        </w:rPr>
        <w:t>12.</w:t>
      </w:r>
      <w:r>
        <w:rPr>
          <w:b/>
          <w:lang w:val="cs"/>
        </w:rPr>
        <w:tab/>
        <w:t>Zvláštní opatření pro likvidaci</w:t>
      </w:r>
    </w:p>
    <w:p w14:paraId="54A8BEA8" w14:textId="77777777" w:rsidR="00AB4FB0" w:rsidRDefault="00AB4FB0">
      <w:pPr>
        <w:keepNext/>
        <w:jc w:val="both"/>
        <w:rPr>
          <w:lang w:val="cs-CZ"/>
        </w:rPr>
      </w:pPr>
    </w:p>
    <w:p w14:paraId="68A70AB2" w14:textId="77777777" w:rsidR="00AB4FB0" w:rsidRDefault="00AF25E6">
      <w:pPr>
        <w:jc w:val="both"/>
        <w:rPr>
          <w:lang w:val="cs-CZ"/>
        </w:rPr>
      </w:pPr>
      <w:r>
        <w:rPr>
          <w:lang w:val="cs"/>
        </w:rPr>
        <w:t>Léčivé přípravky se nesmí likvidovat prostřednictvím odpadní vody či domovního odpadu.</w:t>
      </w:r>
    </w:p>
    <w:p w14:paraId="6B523C6F" w14:textId="77777777" w:rsidR="00AB4FB0" w:rsidRDefault="00AB4FB0">
      <w:pPr>
        <w:jc w:val="both"/>
        <w:rPr>
          <w:lang w:val="cs-CZ"/>
        </w:rPr>
      </w:pPr>
    </w:p>
    <w:p w14:paraId="4CE54C22" w14:textId="5FBD3963" w:rsidR="00AB4FB0" w:rsidRDefault="00AF25E6">
      <w:pPr>
        <w:jc w:val="both"/>
        <w:rPr>
          <w:lang w:val="cs"/>
        </w:rPr>
      </w:pPr>
      <w:r>
        <w:rPr>
          <w:lang w:val="cs"/>
        </w:rPr>
        <w:t xml:space="preserve">Všechen nepoužitý veterinární léčivý přípravek nebo odpad, který pochází z tohoto přípravku, likvidujte odevzdáním v souladu s místními požadavky a </w:t>
      </w:r>
      <w:r w:rsidR="006B1539">
        <w:rPr>
          <w:lang w:val="cs"/>
        </w:rPr>
        <w:t xml:space="preserve">platnými </w:t>
      </w:r>
      <w:r>
        <w:rPr>
          <w:lang w:val="cs"/>
        </w:rPr>
        <w:t>národními systémy sběru</w:t>
      </w:r>
      <w:r w:rsidR="006B1539">
        <w:rPr>
          <w:lang w:val="cs"/>
        </w:rPr>
        <w:t xml:space="preserve">. </w:t>
      </w:r>
      <w:r>
        <w:rPr>
          <w:lang w:val="cs"/>
        </w:rPr>
        <w:t>Tato opatření napomáhají chránit životní prostředí.</w:t>
      </w:r>
    </w:p>
    <w:p w14:paraId="13A69E14" w14:textId="77777777" w:rsidR="00AB4FB0" w:rsidRDefault="00AB4FB0">
      <w:pPr>
        <w:jc w:val="both"/>
        <w:rPr>
          <w:lang w:val="cs"/>
        </w:rPr>
      </w:pPr>
    </w:p>
    <w:p w14:paraId="7A0B240D" w14:textId="794F61A7" w:rsidR="00AB4FB0" w:rsidRDefault="00AF25E6">
      <w:pPr>
        <w:jc w:val="both"/>
        <w:rPr>
          <w:lang w:val="cs"/>
        </w:rPr>
      </w:pPr>
      <w:r>
        <w:rPr>
          <w:lang w:val="cs"/>
        </w:rPr>
        <w:t>O možnostech likvidace nepotřebných léčivých přípravků se poraďte s </w:t>
      </w:r>
      <w:r w:rsidR="006B1539">
        <w:rPr>
          <w:lang w:val="cs"/>
        </w:rPr>
        <w:t>v</w:t>
      </w:r>
      <w:r>
        <w:rPr>
          <w:lang w:val="cs"/>
        </w:rPr>
        <w:t>aším veterinárním lékařem nebo lékárníkem.</w:t>
      </w:r>
    </w:p>
    <w:p w14:paraId="18730F2B" w14:textId="77777777" w:rsidR="00AB4FB0" w:rsidRDefault="00AB4FB0">
      <w:pPr>
        <w:jc w:val="both"/>
        <w:rPr>
          <w:bCs/>
          <w:highlight w:val="lightGray"/>
          <w:lang w:val="cs"/>
        </w:rPr>
      </w:pPr>
    </w:p>
    <w:p w14:paraId="1119B59F" w14:textId="77777777" w:rsidR="00AB4FB0" w:rsidRDefault="00AB4FB0">
      <w:pPr>
        <w:jc w:val="both"/>
        <w:rPr>
          <w:bCs/>
          <w:highlight w:val="lightGray"/>
          <w:lang w:val="cs"/>
        </w:rPr>
      </w:pPr>
    </w:p>
    <w:p w14:paraId="225955CD" w14:textId="77777777" w:rsidR="00AB4FB0" w:rsidRDefault="00AF25E6">
      <w:pPr>
        <w:tabs>
          <w:tab w:val="left" w:pos="0"/>
        </w:tabs>
        <w:ind w:left="567" w:hanging="567"/>
        <w:jc w:val="both"/>
        <w:rPr>
          <w:lang w:val="cs"/>
        </w:rPr>
      </w:pPr>
      <w:r>
        <w:rPr>
          <w:b/>
          <w:highlight w:val="lightGray"/>
          <w:lang w:val="cs"/>
        </w:rPr>
        <w:t>13.</w:t>
      </w:r>
      <w:r>
        <w:rPr>
          <w:b/>
          <w:lang w:val="cs"/>
        </w:rPr>
        <w:tab/>
        <w:t>Klasifikace veterinárních léčivých přípravků</w:t>
      </w:r>
    </w:p>
    <w:p w14:paraId="583D666C" w14:textId="77777777" w:rsidR="00AB4FB0" w:rsidRDefault="00AB4FB0">
      <w:pPr>
        <w:jc w:val="both"/>
        <w:rPr>
          <w:lang w:val="cs"/>
        </w:rPr>
      </w:pPr>
    </w:p>
    <w:p w14:paraId="468F2BFA" w14:textId="56BB6935" w:rsidR="00AB4FB0" w:rsidRDefault="00AF25E6">
      <w:pPr>
        <w:numPr>
          <w:ilvl w:val="12"/>
          <w:numId w:val="0"/>
        </w:numPr>
        <w:jc w:val="both"/>
        <w:rPr>
          <w:lang w:val="cs"/>
        </w:rPr>
      </w:pPr>
      <w:r>
        <w:rPr>
          <w:lang w:val="cs"/>
        </w:rPr>
        <w:t>Veterinární léčivý přípravek</w:t>
      </w:r>
      <w:r w:rsidR="00E2554D">
        <w:rPr>
          <w:lang w:val="cs"/>
        </w:rPr>
        <w:t xml:space="preserve"> je vydáván pouze</w:t>
      </w:r>
      <w:r>
        <w:rPr>
          <w:lang w:val="cs"/>
        </w:rPr>
        <w:t xml:space="preserve"> na předpis.</w:t>
      </w:r>
    </w:p>
    <w:p w14:paraId="7D97017D" w14:textId="77777777" w:rsidR="00AB4FB0" w:rsidRDefault="00AB4FB0">
      <w:pPr>
        <w:ind w:right="-318"/>
        <w:jc w:val="both"/>
        <w:rPr>
          <w:lang w:val="cs"/>
        </w:rPr>
      </w:pPr>
    </w:p>
    <w:p w14:paraId="2521194A" w14:textId="77777777" w:rsidR="00AB4FB0" w:rsidRDefault="00AB4FB0">
      <w:pPr>
        <w:jc w:val="both"/>
        <w:rPr>
          <w:lang w:val="cs"/>
        </w:rPr>
      </w:pPr>
    </w:p>
    <w:p w14:paraId="01D3EF8C" w14:textId="77777777" w:rsidR="00AB4FB0" w:rsidRDefault="00AF25E6">
      <w:pPr>
        <w:tabs>
          <w:tab w:val="left" w:pos="0"/>
        </w:tabs>
        <w:ind w:left="567" w:hanging="567"/>
        <w:jc w:val="both"/>
        <w:rPr>
          <w:b/>
          <w:lang w:val="cs"/>
        </w:rPr>
      </w:pPr>
      <w:r>
        <w:rPr>
          <w:b/>
          <w:highlight w:val="lightGray"/>
          <w:lang w:val="cs"/>
        </w:rPr>
        <w:t>14.</w:t>
      </w:r>
      <w:r>
        <w:rPr>
          <w:b/>
          <w:lang w:val="cs"/>
        </w:rPr>
        <w:tab/>
        <w:t>Registrační čísla a velikosti balení</w:t>
      </w:r>
    </w:p>
    <w:p w14:paraId="3A998229" w14:textId="77777777" w:rsidR="00AB4FB0" w:rsidRDefault="00AB4FB0">
      <w:pPr>
        <w:jc w:val="both"/>
        <w:rPr>
          <w:lang w:val="cs"/>
        </w:rPr>
      </w:pPr>
    </w:p>
    <w:p w14:paraId="2E23307F" w14:textId="1EFB577E" w:rsidR="00AB4FB0" w:rsidRDefault="00B871C8">
      <w:pPr>
        <w:jc w:val="both"/>
        <w:rPr>
          <w:lang w:val="cs"/>
        </w:rPr>
      </w:pPr>
      <w:r w:rsidRPr="00B871C8">
        <w:rPr>
          <w:lang w:val="cs"/>
        </w:rPr>
        <w:t>96/038/</w:t>
      </w:r>
      <w:proofErr w:type="gramStart"/>
      <w:r w:rsidRPr="00B871C8">
        <w:rPr>
          <w:lang w:val="cs"/>
        </w:rPr>
        <w:t>25-C</w:t>
      </w:r>
      <w:proofErr w:type="gramEnd"/>
    </w:p>
    <w:p w14:paraId="2B583173" w14:textId="77777777" w:rsidR="00B871C8" w:rsidRDefault="00B871C8">
      <w:pPr>
        <w:jc w:val="both"/>
        <w:rPr>
          <w:lang w:val="cs"/>
        </w:rPr>
      </w:pPr>
    </w:p>
    <w:p w14:paraId="17083B33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Kartonová krabička obsahující 1 lahvičku o objemu 20 ml.</w:t>
      </w:r>
    </w:p>
    <w:p w14:paraId="31D3DCCF" w14:textId="77777777" w:rsidR="00AB4FB0" w:rsidRDefault="00AB4FB0">
      <w:pPr>
        <w:jc w:val="both"/>
        <w:rPr>
          <w:lang w:val="cs"/>
        </w:rPr>
      </w:pPr>
    </w:p>
    <w:p w14:paraId="27CABD67" w14:textId="77777777" w:rsidR="00AB4FB0" w:rsidRDefault="00AB4FB0">
      <w:pPr>
        <w:jc w:val="both"/>
        <w:rPr>
          <w:lang w:val="cs"/>
        </w:rPr>
      </w:pPr>
    </w:p>
    <w:p w14:paraId="27D0E7D8" w14:textId="77777777" w:rsidR="00AB4FB0" w:rsidRDefault="00AF25E6">
      <w:pPr>
        <w:tabs>
          <w:tab w:val="left" w:pos="0"/>
        </w:tabs>
        <w:ind w:left="567" w:hanging="567"/>
        <w:jc w:val="both"/>
        <w:rPr>
          <w:lang w:val="cs"/>
        </w:rPr>
      </w:pPr>
      <w:r>
        <w:rPr>
          <w:b/>
          <w:highlight w:val="lightGray"/>
          <w:lang w:val="cs"/>
        </w:rPr>
        <w:t>15.</w:t>
      </w:r>
      <w:r>
        <w:rPr>
          <w:b/>
          <w:lang w:val="cs"/>
        </w:rPr>
        <w:tab/>
        <w:t>Datum poslední revize příbalové informace</w:t>
      </w:r>
    </w:p>
    <w:p w14:paraId="145B11A1" w14:textId="77777777" w:rsidR="00AB4FB0" w:rsidRDefault="00AB4FB0">
      <w:pPr>
        <w:jc w:val="both"/>
        <w:rPr>
          <w:lang w:val="cs"/>
        </w:rPr>
      </w:pPr>
    </w:p>
    <w:p w14:paraId="04BFFDE5" w14:textId="4359714E" w:rsidR="00AB4FB0" w:rsidRDefault="00E2554D">
      <w:pPr>
        <w:jc w:val="both"/>
        <w:rPr>
          <w:lang w:val="cs"/>
        </w:rPr>
      </w:pPr>
      <w:r>
        <w:rPr>
          <w:lang w:val="cs"/>
        </w:rPr>
        <w:t>08/2025</w:t>
      </w:r>
    </w:p>
    <w:p w14:paraId="547BFAB4" w14:textId="77777777" w:rsidR="00AB4FB0" w:rsidRDefault="00AB4FB0">
      <w:pPr>
        <w:jc w:val="both"/>
        <w:rPr>
          <w:lang w:val="cs"/>
        </w:rPr>
      </w:pPr>
    </w:p>
    <w:p w14:paraId="334DB44B" w14:textId="56140740" w:rsidR="00AB4FB0" w:rsidRDefault="00AF25E6">
      <w:pPr>
        <w:jc w:val="both"/>
        <w:rPr>
          <w:lang w:val="cs"/>
        </w:rPr>
      </w:pPr>
      <w:r>
        <w:rPr>
          <w:lang w:val="cs"/>
        </w:rPr>
        <w:t>Podrobné informace o tomto veterinárním léčivém přípravku jsou k dispozici v</w:t>
      </w:r>
      <w:r w:rsidR="00E2554D">
        <w:rPr>
          <w:lang w:val="cs"/>
        </w:rPr>
        <w:t> </w:t>
      </w:r>
      <w:r w:rsidR="00E2554D">
        <w:rPr>
          <w:rStyle w:val="Hypertextovodkaz"/>
          <w:color w:val="auto"/>
          <w:u w:val="none"/>
          <w:lang w:val="cs"/>
        </w:rPr>
        <w:t>databázi p</w:t>
      </w:r>
      <w:r w:rsidR="000C7357">
        <w:rPr>
          <w:rStyle w:val="Hypertextovodkaz"/>
          <w:color w:val="auto"/>
          <w:u w:val="none"/>
          <w:lang w:val="cs"/>
        </w:rPr>
        <w:t>ř</w:t>
      </w:r>
      <w:r w:rsidR="00E2554D">
        <w:rPr>
          <w:rStyle w:val="Hypertextovodkaz"/>
          <w:color w:val="auto"/>
          <w:u w:val="none"/>
          <w:lang w:val="cs"/>
        </w:rPr>
        <w:t>ípravků</w:t>
      </w:r>
      <w:r w:rsidRPr="00B871C8">
        <w:rPr>
          <w:rStyle w:val="Hypertextovodkaz"/>
          <w:color w:val="auto"/>
          <w:u w:val="none"/>
          <w:lang w:val="cs"/>
        </w:rPr>
        <w:t xml:space="preserve"> Unie</w:t>
      </w:r>
      <w:r w:rsidRPr="00E2554D">
        <w:rPr>
          <w:lang w:val="cs"/>
        </w:rPr>
        <w:t xml:space="preserve"> </w:t>
      </w:r>
      <w:r>
        <w:rPr>
          <w:lang w:val="cs"/>
        </w:rPr>
        <w:t>(</w:t>
      </w:r>
      <w:hyperlink r:id="rId12" w:history="1">
        <w:r>
          <w:rPr>
            <w:rStyle w:val="Hypertextovodkaz"/>
            <w:lang w:val="cs"/>
          </w:rPr>
          <w:t>https://medicines.health.europa.eu/veterinary</w:t>
        </w:r>
      </w:hyperlink>
      <w:r>
        <w:rPr>
          <w:lang w:val="cs"/>
        </w:rPr>
        <w:t>).</w:t>
      </w:r>
    </w:p>
    <w:p w14:paraId="470A601C" w14:textId="409F51C1" w:rsidR="00AB4FB0" w:rsidRDefault="00AB4FB0">
      <w:pPr>
        <w:jc w:val="both"/>
        <w:rPr>
          <w:lang w:val="cs"/>
        </w:rPr>
      </w:pPr>
    </w:p>
    <w:p w14:paraId="77AD8A3D" w14:textId="77777777" w:rsidR="00E2554D" w:rsidRDefault="00E2554D" w:rsidP="00E2554D">
      <w:pPr>
        <w:jc w:val="both"/>
        <w:rPr>
          <w:rStyle w:val="markedcontent"/>
          <w:lang w:val="cs-CZ"/>
        </w:rPr>
      </w:pPr>
      <w:r>
        <w:rPr>
          <w:rStyle w:val="markedcontent"/>
          <w:lang w:val="cs-CZ"/>
        </w:rPr>
        <w:t>Podrobné informace o tomto veterinárním léčivém přípravku naleznete také v národní databázi (</w:t>
      </w:r>
      <w:hyperlink r:id="rId13" w:history="1">
        <w:r>
          <w:rPr>
            <w:rStyle w:val="Hypertextovodkaz"/>
            <w:lang w:val="cs-CZ"/>
          </w:rPr>
          <w:t>https://www.uskvbl.cz</w:t>
        </w:r>
      </w:hyperlink>
      <w:r>
        <w:rPr>
          <w:rStyle w:val="markedcontent"/>
          <w:lang w:val="cs-CZ"/>
        </w:rPr>
        <w:t xml:space="preserve">). </w:t>
      </w:r>
    </w:p>
    <w:p w14:paraId="3B103427" w14:textId="77777777" w:rsidR="00E2554D" w:rsidRDefault="00E2554D">
      <w:pPr>
        <w:jc w:val="both"/>
        <w:rPr>
          <w:lang w:val="cs"/>
        </w:rPr>
      </w:pPr>
    </w:p>
    <w:p w14:paraId="7415FB38" w14:textId="77777777" w:rsidR="00AB4FB0" w:rsidRDefault="00AB4FB0">
      <w:pPr>
        <w:jc w:val="both"/>
        <w:rPr>
          <w:lang w:val="cs"/>
        </w:rPr>
      </w:pPr>
    </w:p>
    <w:p w14:paraId="0A538683" w14:textId="77777777" w:rsidR="00AB4FB0" w:rsidRPr="00B871C8" w:rsidRDefault="00AF25E6">
      <w:pPr>
        <w:tabs>
          <w:tab w:val="left" w:pos="0"/>
        </w:tabs>
        <w:ind w:left="567" w:hanging="567"/>
        <w:jc w:val="both"/>
        <w:rPr>
          <w:lang w:val="cs"/>
        </w:rPr>
      </w:pPr>
      <w:r>
        <w:rPr>
          <w:b/>
          <w:highlight w:val="lightGray"/>
          <w:lang w:val="cs"/>
        </w:rPr>
        <w:t>16.</w:t>
      </w:r>
      <w:r>
        <w:rPr>
          <w:b/>
          <w:lang w:val="cs"/>
        </w:rPr>
        <w:tab/>
        <w:t>Kontaktní údaje</w:t>
      </w:r>
    </w:p>
    <w:p w14:paraId="415C0A1C" w14:textId="77777777" w:rsidR="00AB4FB0" w:rsidRPr="00B871C8" w:rsidRDefault="00AB4FB0">
      <w:pPr>
        <w:jc w:val="both"/>
        <w:rPr>
          <w:lang w:val="cs"/>
        </w:rPr>
      </w:pPr>
    </w:p>
    <w:p w14:paraId="02FCA8B2" w14:textId="77777777" w:rsidR="00AB4FB0" w:rsidRDefault="00AF25E6">
      <w:pPr>
        <w:pStyle w:val="Style4"/>
        <w:jc w:val="both"/>
      </w:pPr>
      <w:r>
        <w:rPr>
          <w:iCs/>
          <w:u w:val="single"/>
        </w:rPr>
        <w:t>Držitel rozhodnutí o registraci</w:t>
      </w:r>
      <w:r>
        <w:rPr>
          <w:u w:val="single"/>
        </w:rPr>
        <w:t>:</w:t>
      </w:r>
    </w:p>
    <w:p w14:paraId="31E063F2" w14:textId="77777777" w:rsidR="00AB4FB0" w:rsidRDefault="00AF25E6">
      <w:pPr>
        <w:jc w:val="both"/>
        <w:rPr>
          <w:lang w:val="cs-CZ" w:eastAsia="cs-CZ"/>
        </w:rPr>
      </w:pPr>
      <w:r>
        <w:rPr>
          <w:lang w:val="cs-CZ" w:eastAsia="cs-CZ"/>
        </w:rPr>
        <w:t xml:space="preserve">KRKA, </w:t>
      </w:r>
      <w:proofErr w:type="spellStart"/>
      <w:r>
        <w:rPr>
          <w:lang w:val="cs-CZ" w:eastAsia="cs-CZ"/>
        </w:rPr>
        <w:t>d.d</w:t>
      </w:r>
      <w:proofErr w:type="spellEnd"/>
      <w:r>
        <w:rPr>
          <w:lang w:val="cs-CZ" w:eastAsia="cs-CZ"/>
        </w:rPr>
        <w:t xml:space="preserve">., Novo </w:t>
      </w:r>
      <w:proofErr w:type="spellStart"/>
      <w:r>
        <w:rPr>
          <w:lang w:val="cs-CZ" w:eastAsia="cs-CZ"/>
        </w:rPr>
        <w:t>mesto</w:t>
      </w:r>
      <w:proofErr w:type="spellEnd"/>
      <w:r>
        <w:rPr>
          <w:lang w:val="cs-CZ" w:eastAsia="cs-CZ"/>
        </w:rPr>
        <w:t xml:space="preserve">, </w:t>
      </w:r>
      <w:proofErr w:type="spellStart"/>
      <w:r>
        <w:rPr>
          <w:lang w:val="cs-CZ" w:eastAsia="cs-CZ"/>
        </w:rPr>
        <w:t>Šmarješka</w:t>
      </w:r>
      <w:proofErr w:type="spellEnd"/>
      <w:r>
        <w:rPr>
          <w:lang w:val="cs-CZ" w:eastAsia="cs-CZ"/>
        </w:rPr>
        <w:t xml:space="preserve"> cesta 6, 8501 Novo </w:t>
      </w:r>
      <w:proofErr w:type="spellStart"/>
      <w:r>
        <w:rPr>
          <w:lang w:val="cs-CZ" w:eastAsia="cs-CZ"/>
        </w:rPr>
        <w:t>mesto</w:t>
      </w:r>
      <w:proofErr w:type="spellEnd"/>
      <w:r>
        <w:rPr>
          <w:lang w:val="cs-CZ" w:eastAsia="cs-CZ"/>
        </w:rPr>
        <w:t>, Slovinsko</w:t>
      </w:r>
    </w:p>
    <w:p w14:paraId="08670600" w14:textId="77777777" w:rsidR="00AB4FB0" w:rsidRDefault="00AB4FB0">
      <w:pPr>
        <w:jc w:val="both"/>
        <w:rPr>
          <w:iCs/>
          <w:u w:val="single"/>
          <w:lang w:val="cs-CZ"/>
        </w:rPr>
      </w:pPr>
    </w:p>
    <w:p w14:paraId="735DD243" w14:textId="77777777" w:rsidR="00AB4FB0" w:rsidRDefault="00AF25E6">
      <w:pPr>
        <w:jc w:val="both"/>
        <w:rPr>
          <w:bCs/>
          <w:u w:val="single"/>
          <w:lang w:val="cs-CZ" w:eastAsia="cs-CZ"/>
        </w:rPr>
      </w:pPr>
      <w:r>
        <w:rPr>
          <w:bCs/>
          <w:u w:val="single"/>
          <w:lang w:val="cs-CZ" w:eastAsia="cs-CZ"/>
        </w:rPr>
        <w:t>Výrobce odpovědný za uvolnění šarže</w:t>
      </w:r>
      <w:r>
        <w:rPr>
          <w:u w:val="single"/>
          <w:lang w:val="cs-CZ" w:eastAsia="cs-CZ"/>
        </w:rPr>
        <w:t>:</w:t>
      </w:r>
    </w:p>
    <w:p w14:paraId="6431AFEE" w14:textId="5F18A8E6" w:rsidR="00AB4FB0" w:rsidRDefault="00AF25E6">
      <w:pPr>
        <w:jc w:val="both"/>
        <w:rPr>
          <w:lang w:val="cs-CZ" w:eastAsia="cs-CZ"/>
        </w:rPr>
      </w:pPr>
      <w:r>
        <w:rPr>
          <w:lang w:val="cs-CZ" w:eastAsia="cs-CZ"/>
        </w:rPr>
        <w:t xml:space="preserve">KRKA, </w:t>
      </w:r>
      <w:proofErr w:type="spellStart"/>
      <w:r>
        <w:rPr>
          <w:lang w:val="cs-CZ" w:eastAsia="cs-CZ"/>
        </w:rPr>
        <w:t>d.d</w:t>
      </w:r>
      <w:proofErr w:type="spellEnd"/>
      <w:r>
        <w:rPr>
          <w:lang w:val="cs-CZ" w:eastAsia="cs-CZ"/>
        </w:rPr>
        <w:t xml:space="preserve">., Novo </w:t>
      </w:r>
      <w:proofErr w:type="spellStart"/>
      <w:r>
        <w:rPr>
          <w:lang w:val="cs-CZ" w:eastAsia="cs-CZ"/>
        </w:rPr>
        <w:t>mesto</w:t>
      </w:r>
      <w:proofErr w:type="spellEnd"/>
      <w:r>
        <w:rPr>
          <w:lang w:val="cs-CZ" w:eastAsia="cs-CZ"/>
        </w:rPr>
        <w:t xml:space="preserve">, </w:t>
      </w:r>
      <w:proofErr w:type="spellStart"/>
      <w:r>
        <w:rPr>
          <w:lang w:val="cs-CZ" w:eastAsia="cs-CZ"/>
        </w:rPr>
        <w:t>Šmarješka</w:t>
      </w:r>
      <w:proofErr w:type="spellEnd"/>
      <w:r>
        <w:rPr>
          <w:lang w:val="cs-CZ" w:eastAsia="cs-CZ"/>
        </w:rPr>
        <w:t xml:space="preserve"> cesta 6, 8501 Novo </w:t>
      </w:r>
      <w:proofErr w:type="spellStart"/>
      <w:r>
        <w:rPr>
          <w:lang w:val="cs-CZ" w:eastAsia="cs-CZ"/>
        </w:rPr>
        <w:t>mesto</w:t>
      </w:r>
      <w:proofErr w:type="spellEnd"/>
      <w:r>
        <w:rPr>
          <w:lang w:val="cs-CZ" w:eastAsia="cs-CZ"/>
        </w:rPr>
        <w:t>, Slovinsko</w:t>
      </w:r>
    </w:p>
    <w:p w14:paraId="373AAEED" w14:textId="77777777" w:rsidR="004418E7" w:rsidRDefault="004418E7" w:rsidP="004418E7">
      <w:pPr>
        <w:jc w:val="both"/>
        <w:rPr>
          <w:iCs/>
          <w:u w:val="single"/>
          <w:lang w:val="cs-CZ"/>
        </w:rPr>
      </w:pPr>
      <w:r w:rsidRPr="004418E7">
        <w:rPr>
          <w:rFonts w:cs="Arial"/>
          <w:szCs w:val="22"/>
          <w:highlight w:val="lightGray"/>
          <w:lang w:val="de-DE"/>
        </w:rPr>
        <w:t>TAD Pharma GmbH, Heinz-Lohmann-Straße 5, 27472 Cuxhaven, Německo</w:t>
      </w:r>
    </w:p>
    <w:p w14:paraId="5014562C" w14:textId="77777777" w:rsidR="004418E7" w:rsidRDefault="004418E7">
      <w:pPr>
        <w:jc w:val="both"/>
        <w:rPr>
          <w:iCs/>
          <w:u w:val="single"/>
          <w:lang w:val="cs-CZ"/>
        </w:rPr>
      </w:pPr>
    </w:p>
    <w:p w14:paraId="613739C4" w14:textId="77777777" w:rsidR="00AB4FB0" w:rsidRDefault="00AF25E6">
      <w:pPr>
        <w:pStyle w:val="Style4"/>
        <w:jc w:val="both"/>
      </w:pPr>
      <w:r>
        <w:rPr>
          <w:u w:val="single"/>
        </w:rPr>
        <w:lastRenderedPageBreak/>
        <w:t>Místní zástupci a kontaktní údaje pro hlášení podezření na nežádoucí účinky:</w:t>
      </w:r>
    </w:p>
    <w:p w14:paraId="1EAFFB28" w14:textId="77777777" w:rsidR="00AB4FB0" w:rsidRDefault="00AF25E6">
      <w:pPr>
        <w:tabs>
          <w:tab w:val="left" w:pos="0"/>
        </w:tabs>
        <w:jc w:val="both"/>
        <w:rPr>
          <w:bCs/>
          <w:lang w:val="cs-CZ"/>
        </w:rPr>
      </w:pPr>
      <w:r>
        <w:rPr>
          <w:bCs/>
          <w:lang w:val="cs-CZ"/>
        </w:rPr>
        <w:t>KRKA ČR, s.r.o., tel.: +420 221 115 150</w:t>
      </w:r>
    </w:p>
    <w:p w14:paraId="6042F709" w14:textId="77777777" w:rsidR="00AB4FB0" w:rsidRDefault="00AB4FB0">
      <w:pPr>
        <w:jc w:val="both"/>
        <w:rPr>
          <w:lang w:val="cs-CZ"/>
        </w:rPr>
      </w:pPr>
    </w:p>
    <w:p w14:paraId="040BF561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59D14D4C" w14:textId="77777777" w:rsidR="00AB4FB0" w:rsidRDefault="00AB4FB0">
      <w:pPr>
        <w:jc w:val="both"/>
        <w:rPr>
          <w:lang w:val="cs-CZ"/>
        </w:rPr>
      </w:pPr>
    </w:p>
    <w:p w14:paraId="4D8F4C41" w14:textId="77777777" w:rsidR="00AB4FB0" w:rsidRDefault="00AB4FB0">
      <w:pPr>
        <w:rPr>
          <w:lang w:val="cs-CZ"/>
        </w:rPr>
      </w:pPr>
    </w:p>
    <w:sectPr w:rsidR="00AB4FB0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9F666" w14:textId="77777777" w:rsidR="006D7711" w:rsidRDefault="006D7711">
      <w:pPr>
        <w:spacing w:line="240" w:lineRule="auto"/>
      </w:pPr>
      <w:r>
        <w:separator/>
      </w:r>
    </w:p>
  </w:endnote>
  <w:endnote w:type="continuationSeparator" w:id="0">
    <w:p w14:paraId="6EA0FF0E" w14:textId="77777777" w:rsidR="006D7711" w:rsidRDefault="006D7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0865" w14:textId="77777777" w:rsidR="00AB4FB0" w:rsidRDefault="00AF25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D5F7" w14:textId="77777777" w:rsidR="00AB4FB0" w:rsidRDefault="00AF25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D0588" w14:textId="77777777" w:rsidR="006D7711" w:rsidRDefault="006D7711">
      <w:pPr>
        <w:spacing w:line="240" w:lineRule="auto"/>
      </w:pPr>
      <w:r>
        <w:separator/>
      </w:r>
    </w:p>
  </w:footnote>
  <w:footnote w:type="continuationSeparator" w:id="0">
    <w:p w14:paraId="3DD2983D" w14:textId="77777777" w:rsidR="006D7711" w:rsidRDefault="006D7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2D59" w14:textId="015DC031" w:rsidR="004B27D0" w:rsidRDefault="004B27D0" w:rsidP="004B27D0"/>
  <w:p w14:paraId="15F3B6D9" w14:textId="77777777" w:rsidR="00AB4FB0" w:rsidRDefault="00AB4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2907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6A5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AC1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E5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A9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887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C9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2C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E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F8462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AC9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A3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45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EC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03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AE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20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285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A2A7D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2A66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16A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3D6E0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B5AD5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B070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FA2C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2E70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504B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C6E0B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0F011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641A5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E55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1ECD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2E67D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CAA3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5DC4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85CDE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3D4A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CC0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04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F0D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61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C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C2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41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49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BEE8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40E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385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2B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E9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6A4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49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43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7E1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6666A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066A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F28D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30F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FEF9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080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66D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F4CA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B495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CAC05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ECE9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46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0A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A6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AE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4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06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09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7802E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276B9C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99E5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0C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E9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AD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1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20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C98D4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E6F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0E4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0F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88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769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AC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ED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A2C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0700A2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161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AA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20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2F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50B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EA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4A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A7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5E02F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084A8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4826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F664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386E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2CC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E4C9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6F41A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54E3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F6486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708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885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EE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22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184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E4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AE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B0D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F24EC2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EA63688" w:tentative="1">
      <w:start w:val="1"/>
      <w:numFmt w:val="lowerLetter"/>
      <w:lvlText w:val="%2."/>
      <w:lvlJc w:val="left"/>
      <w:pPr>
        <w:ind w:left="1440" w:hanging="360"/>
      </w:pPr>
    </w:lvl>
    <w:lvl w:ilvl="2" w:tplc="6E040E90" w:tentative="1">
      <w:start w:val="1"/>
      <w:numFmt w:val="lowerRoman"/>
      <w:lvlText w:val="%3."/>
      <w:lvlJc w:val="right"/>
      <w:pPr>
        <w:ind w:left="2160" w:hanging="180"/>
      </w:pPr>
    </w:lvl>
    <w:lvl w:ilvl="3" w:tplc="2AEE5CE4" w:tentative="1">
      <w:start w:val="1"/>
      <w:numFmt w:val="decimal"/>
      <w:lvlText w:val="%4."/>
      <w:lvlJc w:val="left"/>
      <w:pPr>
        <w:ind w:left="2880" w:hanging="360"/>
      </w:pPr>
    </w:lvl>
    <w:lvl w:ilvl="4" w:tplc="FD7046F6" w:tentative="1">
      <w:start w:val="1"/>
      <w:numFmt w:val="lowerLetter"/>
      <w:lvlText w:val="%5."/>
      <w:lvlJc w:val="left"/>
      <w:pPr>
        <w:ind w:left="3600" w:hanging="360"/>
      </w:pPr>
    </w:lvl>
    <w:lvl w:ilvl="5" w:tplc="9F88D628" w:tentative="1">
      <w:start w:val="1"/>
      <w:numFmt w:val="lowerRoman"/>
      <w:lvlText w:val="%6."/>
      <w:lvlJc w:val="right"/>
      <w:pPr>
        <w:ind w:left="4320" w:hanging="180"/>
      </w:pPr>
    </w:lvl>
    <w:lvl w:ilvl="6" w:tplc="61F8CF78" w:tentative="1">
      <w:start w:val="1"/>
      <w:numFmt w:val="decimal"/>
      <w:lvlText w:val="%7."/>
      <w:lvlJc w:val="left"/>
      <w:pPr>
        <w:ind w:left="5040" w:hanging="360"/>
      </w:pPr>
    </w:lvl>
    <w:lvl w:ilvl="7" w:tplc="CA2ECD5C" w:tentative="1">
      <w:start w:val="1"/>
      <w:numFmt w:val="lowerLetter"/>
      <w:lvlText w:val="%8."/>
      <w:lvlJc w:val="left"/>
      <w:pPr>
        <w:ind w:left="5760" w:hanging="360"/>
      </w:pPr>
    </w:lvl>
    <w:lvl w:ilvl="8" w:tplc="D8282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E08E8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785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69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24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4E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D45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69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C20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183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F3C7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A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04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A0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CB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4EE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02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44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EB8F06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CEA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E1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48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CE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8F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8B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623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C74A2A6">
      <w:start w:val="1"/>
      <w:numFmt w:val="decimal"/>
      <w:lvlText w:val="%1."/>
      <w:lvlJc w:val="left"/>
      <w:pPr>
        <w:ind w:left="720" w:hanging="360"/>
      </w:pPr>
    </w:lvl>
    <w:lvl w:ilvl="1" w:tplc="5CCC9984" w:tentative="1">
      <w:start w:val="1"/>
      <w:numFmt w:val="lowerLetter"/>
      <w:lvlText w:val="%2."/>
      <w:lvlJc w:val="left"/>
      <w:pPr>
        <w:ind w:left="1440" w:hanging="360"/>
      </w:pPr>
    </w:lvl>
    <w:lvl w:ilvl="2" w:tplc="E9588328" w:tentative="1">
      <w:start w:val="1"/>
      <w:numFmt w:val="lowerRoman"/>
      <w:lvlText w:val="%3."/>
      <w:lvlJc w:val="right"/>
      <w:pPr>
        <w:ind w:left="2160" w:hanging="180"/>
      </w:pPr>
    </w:lvl>
    <w:lvl w:ilvl="3" w:tplc="2ED6360E" w:tentative="1">
      <w:start w:val="1"/>
      <w:numFmt w:val="decimal"/>
      <w:lvlText w:val="%4."/>
      <w:lvlJc w:val="left"/>
      <w:pPr>
        <w:ind w:left="2880" w:hanging="360"/>
      </w:pPr>
    </w:lvl>
    <w:lvl w:ilvl="4" w:tplc="4628FEB2" w:tentative="1">
      <w:start w:val="1"/>
      <w:numFmt w:val="lowerLetter"/>
      <w:lvlText w:val="%5."/>
      <w:lvlJc w:val="left"/>
      <w:pPr>
        <w:ind w:left="3600" w:hanging="360"/>
      </w:pPr>
    </w:lvl>
    <w:lvl w:ilvl="5" w:tplc="8188DD00" w:tentative="1">
      <w:start w:val="1"/>
      <w:numFmt w:val="lowerRoman"/>
      <w:lvlText w:val="%6."/>
      <w:lvlJc w:val="right"/>
      <w:pPr>
        <w:ind w:left="4320" w:hanging="180"/>
      </w:pPr>
    </w:lvl>
    <w:lvl w:ilvl="6" w:tplc="F274E850" w:tentative="1">
      <w:start w:val="1"/>
      <w:numFmt w:val="decimal"/>
      <w:lvlText w:val="%7."/>
      <w:lvlJc w:val="left"/>
      <w:pPr>
        <w:ind w:left="5040" w:hanging="360"/>
      </w:pPr>
    </w:lvl>
    <w:lvl w:ilvl="7" w:tplc="D130CB60" w:tentative="1">
      <w:start w:val="1"/>
      <w:numFmt w:val="lowerLetter"/>
      <w:lvlText w:val="%8."/>
      <w:lvlJc w:val="left"/>
      <w:pPr>
        <w:ind w:left="5760" w:hanging="360"/>
      </w:pPr>
    </w:lvl>
    <w:lvl w:ilvl="8" w:tplc="CB76E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388A0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6024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18D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2E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25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50C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B4A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C2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94C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B4FB0"/>
    <w:rsid w:val="00097AED"/>
    <w:rsid w:val="000C3AA7"/>
    <w:rsid w:val="000C7357"/>
    <w:rsid w:val="000D2C29"/>
    <w:rsid w:val="000E58D9"/>
    <w:rsid w:val="00233A38"/>
    <w:rsid w:val="00256EC0"/>
    <w:rsid w:val="002C353F"/>
    <w:rsid w:val="0039398B"/>
    <w:rsid w:val="003B7B2C"/>
    <w:rsid w:val="004418E7"/>
    <w:rsid w:val="004B27D0"/>
    <w:rsid w:val="005B47FE"/>
    <w:rsid w:val="005D74D0"/>
    <w:rsid w:val="006B1539"/>
    <w:rsid w:val="006D7711"/>
    <w:rsid w:val="00863118"/>
    <w:rsid w:val="008D43B8"/>
    <w:rsid w:val="008F6129"/>
    <w:rsid w:val="00905DEF"/>
    <w:rsid w:val="00944524"/>
    <w:rsid w:val="0099547B"/>
    <w:rsid w:val="00AB4FB0"/>
    <w:rsid w:val="00AF1522"/>
    <w:rsid w:val="00AF25E6"/>
    <w:rsid w:val="00B871C8"/>
    <w:rsid w:val="00C63CCD"/>
    <w:rsid w:val="00DB024F"/>
    <w:rsid w:val="00DB7EF9"/>
    <w:rsid w:val="00E2554D"/>
    <w:rsid w:val="00EB5B84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D4043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  <w:style w:type="paragraph" w:customStyle="1" w:styleId="Style4">
    <w:name w:val="Style4"/>
    <w:basedOn w:val="Normln"/>
    <w:qFormat/>
    <w:rPr>
      <w:szCs w:val="22"/>
      <w:lang w:val="cs-CZ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  <w:lang w:val="cs-CZ"/>
    </w:rPr>
  </w:style>
  <w:style w:type="character" w:customStyle="1" w:styleId="markedcontent">
    <w:name w:val="markedcontent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/cs/registrace-a-schvalovani/registrace-vlp/seznam-vlp/aktualne-registrovane-vl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B879D4-8051-4ACB-8EA5-EDE7A877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1839</Words>
  <Characters>10853</Characters>
  <Application>Microsoft Office Word</Application>
  <DocSecurity>0</DocSecurity>
  <Lines>90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Dušek Daniel</cp:lastModifiedBy>
  <cp:revision>18</cp:revision>
  <cp:lastPrinted>2022-10-25T16:37:00Z</cp:lastPrinted>
  <dcterms:created xsi:type="dcterms:W3CDTF">2025-07-07T12:06:00Z</dcterms:created>
  <dcterms:modified xsi:type="dcterms:W3CDTF">2025-09-01T13:44:00Z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