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2509DC">
      <w:pPr>
        <w:spacing w:line="240" w:lineRule="auto"/>
      </w:pPr>
    </w:p>
    <w:p w:rsidR="002509DC" w:rsidRDefault="00DA27E2" w:rsidP="00891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b/>
          <w:color w:val="000000"/>
        </w:rPr>
        <w:t xml:space="preserve">B. </w:t>
      </w:r>
      <w:r w:rsidR="00F372B4">
        <w:rPr>
          <w:b/>
          <w:color w:val="000000"/>
        </w:rPr>
        <w:t>PŘÍBALOVÁ INFORMACE</w:t>
      </w:r>
    </w:p>
    <w:p w:rsidR="002509DC" w:rsidRDefault="00F372B4">
      <w:pPr>
        <w:spacing w:line="240" w:lineRule="auto"/>
        <w:jc w:val="center"/>
      </w:pPr>
      <w:r>
        <w:br w:type="page"/>
      </w:r>
      <w:r>
        <w:rPr>
          <w:b/>
        </w:rPr>
        <w:lastRenderedPageBreak/>
        <w:t>PŘÍBALOVÁ INFORMACE</w:t>
      </w:r>
    </w:p>
    <w:p w:rsidR="002509DC" w:rsidRDefault="002509DC">
      <w:pPr>
        <w:spacing w:line="240" w:lineRule="auto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1.</w:t>
      </w:r>
      <w:r>
        <w:rPr>
          <w:b/>
          <w:color w:val="000000"/>
        </w:rPr>
        <w:tab/>
        <w:t>Název veterinárního léčivého přípravku</w:t>
      </w:r>
    </w:p>
    <w:p w:rsidR="002509DC" w:rsidRDefault="002509DC">
      <w:pPr>
        <w:spacing w:line="240" w:lineRule="auto"/>
      </w:pPr>
    </w:p>
    <w:p w:rsidR="002509DC" w:rsidRDefault="00F372B4">
      <w:pPr>
        <w:spacing w:line="240" w:lineRule="auto"/>
      </w:pPr>
      <w:r>
        <w:t>Cyclix 250 µg/ml injekční roztok pro skot</w:t>
      </w:r>
    </w:p>
    <w:p w:rsidR="002509DC" w:rsidRDefault="002509DC">
      <w:pPr>
        <w:spacing w:line="240" w:lineRule="auto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2.</w:t>
      </w:r>
      <w:r>
        <w:rPr>
          <w:b/>
          <w:color w:val="000000"/>
        </w:rPr>
        <w:tab/>
        <w:t>Složení</w:t>
      </w:r>
    </w:p>
    <w:p w:rsidR="002509DC" w:rsidRDefault="002509DC">
      <w:pPr>
        <w:spacing w:line="240" w:lineRule="auto"/>
      </w:pPr>
    </w:p>
    <w:p w:rsidR="002509DC" w:rsidRDefault="00F372B4">
      <w:r>
        <w:t>Každý ml obsahuje:</w:t>
      </w:r>
    </w:p>
    <w:p w:rsidR="002509DC" w:rsidRDefault="002509DC"/>
    <w:p w:rsidR="002509DC" w:rsidRDefault="00F372B4">
      <w:pPr>
        <w:rPr>
          <w:b/>
        </w:rPr>
      </w:pPr>
      <w:r>
        <w:rPr>
          <w:b/>
        </w:rPr>
        <w:t>Léčivá látka:</w:t>
      </w:r>
    </w:p>
    <w:p w:rsidR="002509DC" w:rsidRDefault="00F372B4">
      <w:pPr>
        <w:tabs>
          <w:tab w:val="left" w:pos="3261"/>
        </w:tabs>
        <w:jc w:val="both"/>
      </w:pPr>
      <w:r>
        <w:t>Cloprostenolum</w:t>
      </w:r>
      <w:r>
        <w:tab/>
        <w:t>250 µg</w:t>
      </w:r>
    </w:p>
    <w:p w:rsidR="002509DC" w:rsidRDefault="00F372B4">
      <w:r>
        <w:t>jako cloprostenolum natricum</w:t>
      </w:r>
      <w:r>
        <w:tab/>
        <w:t>263 µg</w:t>
      </w:r>
    </w:p>
    <w:p w:rsidR="002509DC" w:rsidRDefault="002509DC">
      <w:pPr>
        <w:rPr>
          <w:b/>
        </w:rPr>
      </w:pPr>
    </w:p>
    <w:p w:rsidR="002509DC" w:rsidRDefault="00F372B4">
      <w:r>
        <w:rPr>
          <w:b/>
        </w:rPr>
        <w:t>Pomocné látky:</w:t>
      </w:r>
    </w:p>
    <w:p w:rsidR="002509DC" w:rsidRDefault="00F372B4">
      <w:pPr>
        <w:tabs>
          <w:tab w:val="left" w:pos="3261"/>
        </w:tabs>
        <w:jc w:val="both"/>
      </w:pPr>
      <w:r>
        <w:t>Benzylalkohol (E 1519)</w:t>
      </w:r>
      <w:r>
        <w:tab/>
        <w:t>20 mg</w:t>
      </w:r>
    </w:p>
    <w:p w:rsidR="002509DC" w:rsidRDefault="002509DC"/>
    <w:p w:rsidR="002509DC" w:rsidRDefault="00F372B4">
      <w:r>
        <w:t>Bezbarvý roztok</w:t>
      </w:r>
      <w:r w:rsidR="005F2B14">
        <w:t>.</w:t>
      </w:r>
    </w:p>
    <w:p w:rsidR="002509DC" w:rsidRDefault="002509DC">
      <w:pPr>
        <w:spacing w:line="240" w:lineRule="auto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3.</w:t>
      </w:r>
      <w:r>
        <w:rPr>
          <w:b/>
          <w:color w:val="000000"/>
        </w:rPr>
        <w:tab/>
        <w:t>Cílové druhy zvířat</w:t>
      </w:r>
    </w:p>
    <w:p w:rsidR="002509DC" w:rsidRDefault="002509DC">
      <w:pPr>
        <w:spacing w:line="240" w:lineRule="auto"/>
      </w:pPr>
    </w:p>
    <w:p w:rsidR="002509DC" w:rsidRDefault="00F372B4">
      <w:pPr>
        <w:spacing w:line="240" w:lineRule="auto"/>
      </w:pPr>
      <w:r>
        <w:t>Skot (krávy)</w:t>
      </w:r>
    </w:p>
    <w:p w:rsidR="002509DC" w:rsidRDefault="002509DC">
      <w:pPr>
        <w:spacing w:line="240" w:lineRule="auto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4.</w:t>
      </w:r>
      <w:r>
        <w:rPr>
          <w:b/>
          <w:color w:val="000000"/>
        </w:rPr>
        <w:tab/>
        <w:t>Indikace pro použití</w:t>
      </w:r>
    </w:p>
    <w:p w:rsidR="002509DC" w:rsidRDefault="002509DC">
      <w:pPr>
        <w:spacing w:line="240" w:lineRule="auto"/>
        <w:jc w:val="both"/>
      </w:pPr>
    </w:p>
    <w:p w:rsidR="00042BCE" w:rsidRPr="005D5096" w:rsidRDefault="00042BCE" w:rsidP="00042BCE">
      <w:pPr>
        <w:tabs>
          <w:tab w:val="num" w:pos="284"/>
        </w:tabs>
        <w:spacing w:line="240" w:lineRule="auto"/>
      </w:pPr>
      <w:r w:rsidRPr="005D5096">
        <w:t xml:space="preserve">Skot </w:t>
      </w:r>
      <w:r w:rsidRPr="004B6407">
        <w:t>(krávy):</w:t>
      </w:r>
    </w:p>
    <w:p w:rsidR="00042BCE" w:rsidRPr="004B6407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>Indukce a synchronizace říje u krav s funkčním žlutým těl</w:t>
      </w:r>
      <w:r>
        <w:t>ísk</w:t>
      </w:r>
      <w:r w:rsidRPr="004B6407">
        <w:t>em.</w:t>
      </w:r>
    </w:p>
    <w:p w:rsidR="00042BCE" w:rsidRPr="004B6407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 xml:space="preserve">Vyvolání říje jako </w:t>
      </w:r>
      <w:r w:rsidR="005F7185">
        <w:t>léčba</w:t>
      </w:r>
      <w:r w:rsidRPr="004B6407">
        <w:t xml:space="preserve"> </w:t>
      </w:r>
      <w:proofErr w:type="spellStart"/>
      <w:r w:rsidRPr="004B6407">
        <w:t>subestru</w:t>
      </w:r>
      <w:proofErr w:type="spellEnd"/>
      <w:r w:rsidRPr="004B6407">
        <w:t xml:space="preserve"> („tiché říje“).</w:t>
      </w:r>
    </w:p>
    <w:p w:rsidR="00042BCE" w:rsidRPr="004B6407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>Léčba klinické a subklinické endometritidy v přítomnosti funkčního žlutého tělíska.</w:t>
      </w:r>
    </w:p>
    <w:p w:rsidR="00042BCE" w:rsidRPr="004B6407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>Léčba ovariálních luteálních cyst.</w:t>
      </w:r>
    </w:p>
    <w:p w:rsidR="00042BCE" w:rsidRPr="004B6407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 xml:space="preserve">Vyvolání porodu po 270. dni </w:t>
      </w:r>
      <w:r>
        <w:t>březosti</w:t>
      </w:r>
      <w:r w:rsidRPr="004B6407">
        <w:t>.</w:t>
      </w:r>
    </w:p>
    <w:p w:rsidR="00042BCE" w:rsidRPr="00340E68" w:rsidRDefault="00042BCE" w:rsidP="00042BCE">
      <w:pPr>
        <w:pStyle w:val="Odstavecseseznamem"/>
        <w:numPr>
          <w:ilvl w:val="0"/>
          <w:numId w:val="5"/>
        </w:numPr>
        <w:tabs>
          <w:tab w:val="clear" w:pos="567"/>
        </w:tabs>
        <w:spacing w:line="240" w:lineRule="auto"/>
        <w:contextualSpacing w:val="0"/>
      </w:pPr>
      <w:r w:rsidRPr="004B6407">
        <w:t xml:space="preserve">Vyvolání potratu až do 150. dne </w:t>
      </w:r>
      <w:r>
        <w:t>březosti</w:t>
      </w:r>
      <w:r w:rsidRPr="004B6407">
        <w:t>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5.</w:t>
      </w:r>
      <w:r>
        <w:rPr>
          <w:b/>
          <w:color w:val="000000"/>
        </w:rPr>
        <w:tab/>
        <w:t>Kontraindikace</w:t>
      </w:r>
    </w:p>
    <w:p w:rsidR="002509DC" w:rsidRDefault="002509DC">
      <w:pPr>
        <w:spacing w:line="240" w:lineRule="auto"/>
        <w:jc w:val="both"/>
      </w:pPr>
    </w:p>
    <w:p w:rsidR="00042BCE" w:rsidRPr="002E4C56" w:rsidRDefault="00042BCE" w:rsidP="00042BCE">
      <w:pPr>
        <w:tabs>
          <w:tab w:val="num" w:pos="284"/>
        </w:tabs>
        <w:spacing w:line="240" w:lineRule="auto"/>
        <w:jc w:val="both"/>
      </w:pPr>
      <w:r w:rsidRPr="002E4C56">
        <w:t>Nepoužívat u březích zvířat, u kterých není zamýšleno vyvolání potratu nebo porodu.</w:t>
      </w:r>
    </w:p>
    <w:p w:rsidR="00042BCE" w:rsidRPr="002E4C56" w:rsidRDefault="00042BCE" w:rsidP="00042BCE">
      <w:pPr>
        <w:tabs>
          <w:tab w:val="num" w:pos="284"/>
        </w:tabs>
        <w:spacing w:line="240" w:lineRule="auto"/>
        <w:jc w:val="both"/>
      </w:pPr>
      <w:r w:rsidRPr="002E4C56">
        <w:t xml:space="preserve">Nepodávat k vyvolání porodu u zvířat s podezřením na dystokii v důsledku mechanické obstrukce nebo abnormální polohy, </w:t>
      </w:r>
      <w:r>
        <w:t xml:space="preserve">naléhání </w:t>
      </w:r>
      <w:r w:rsidRPr="002E4C56">
        <w:t>a/nebo držení plodu.</w:t>
      </w:r>
    </w:p>
    <w:p w:rsidR="00042BCE" w:rsidRPr="002E4C56" w:rsidRDefault="00042BCE" w:rsidP="00042BCE">
      <w:pPr>
        <w:tabs>
          <w:tab w:val="num" w:pos="284"/>
        </w:tabs>
        <w:spacing w:line="240" w:lineRule="auto"/>
        <w:jc w:val="both"/>
      </w:pPr>
      <w:r w:rsidRPr="002E4C56">
        <w:t>Nepoužívat u zvířat s narušenou kardiovaskulární funkcí, bronchospasmem nebo gastrointestinální dysmotilitou.</w:t>
      </w:r>
    </w:p>
    <w:p w:rsidR="00042BCE" w:rsidRPr="00340E68" w:rsidRDefault="00042BCE" w:rsidP="00042BCE">
      <w:pPr>
        <w:tabs>
          <w:tab w:val="num" w:pos="284"/>
        </w:tabs>
        <w:spacing w:line="240" w:lineRule="auto"/>
        <w:jc w:val="both"/>
      </w:pPr>
      <w:r w:rsidRPr="002E4C56">
        <w:t>Nepoužívat v případech přecitlivělosti na léčivou látku nebo na některou z pomocných látek.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6.</w:t>
      </w:r>
      <w:r>
        <w:rPr>
          <w:b/>
          <w:color w:val="000000"/>
        </w:rPr>
        <w:tab/>
        <w:t>Zvláštní upozornění</w:t>
      </w:r>
    </w:p>
    <w:p w:rsidR="002509DC" w:rsidRDefault="002509DC">
      <w:pPr>
        <w:spacing w:line="240" w:lineRule="auto"/>
        <w:jc w:val="both"/>
      </w:pPr>
    </w:p>
    <w:p w:rsidR="00042BCE" w:rsidRDefault="00042BCE" w:rsidP="00042BCE">
      <w:pPr>
        <w:keepNext/>
        <w:tabs>
          <w:tab w:val="clear" w:pos="567"/>
        </w:tabs>
        <w:spacing w:line="240" w:lineRule="auto"/>
        <w:jc w:val="both"/>
      </w:pPr>
      <w:r w:rsidRPr="00B41D57">
        <w:rPr>
          <w:u w:val="single"/>
        </w:rPr>
        <w:t>Zvláštní upozornění</w:t>
      </w:r>
      <w:r w:rsidRPr="00B41D57">
        <w:t>:</w:t>
      </w:r>
    </w:p>
    <w:p w:rsidR="00042BCE" w:rsidRPr="002E4C56" w:rsidRDefault="00042BCE" w:rsidP="00042BCE">
      <w:pPr>
        <w:spacing w:line="240" w:lineRule="auto"/>
        <w:jc w:val="both"/>
      </w:pPr>
      <w:r w:rsidRPr="002E4C56">
        <w:t>Existuje refrakterní</w:t>
      </w:r>
      <w:r>
        <w:t xml:space="preserve"> období několik dní po ovulaci, </w:t>
      </w:r>
      <w:r w:rsidRPr="002E4C56">
        <w:t>kdy jsou samice necitlivé na luteolytický účinek prostaglandinů.</w:t>
      </w:r>
    </w:p>
    <w:p w:rsidR="00042BCE" w:rsidRPr="002E4C56" w:rsidRDefault="00042BCE" w:rsidP="00042BCE">
      <w:pPr>
        <w:spacing w:line="240" w:lineRule="auto"/>
        <w:jc w:val="both"/>
      </w:pPr>
      <w:r w:rsidRPr="002E4C56">
        <w:t xml:space="preserve">Pro ukončení březosti u skotu se nejlepších výsledků dosáhne před 100. dnem březosti. Výsledky jsou méně spolehlivé mezi 100. a 150. dnem </w:t>
      </w:r>
      <w:r>
        <w:t>březosti</w:t>
      </w:r>
      <w:r w:rsidRPr="002E4C56">
        <w:t>.</w:t>
      </w: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  <w:r w:rsidRPr="00B41D57">
        <w:rPr>
          <w:u w:val="single"/>
        </w:rPr>
        <w:t>Zvláštní opatření pro bezpečné použití u cílových druhů zvířat</w:t>
      </w:r>
      <w:r w:rsidRPr="00B41D57">
        <w:t>:</w:t>
      </w:r>
    </w:p>
    <w:p w:rsidR="00042BCE" w:rsidRPr="00715587" w:rsidRDefault="00042BCE" w:rsidP="00042BCE">
      <w:pPr>
        <w:spacing w:line="240" w:lineRule="auto"/>
        <w:jc w:val="both"/>
      </w:pPr>
      <w:r w:rsidRPr="00715587">
        <w:t xml:space="preserve">Ke snížení rizika anaerobních infekcí vyplývajících z vazokonstrikce v místě </w:t>
      </w:r>
      <w:r>
        <w:t>injekčního podání</w:t>
      </w:r>
      <w:r w:rsidRPr="00715587">
        <w:t xml:space="preserve"> je třeba se vyhnout injek</w:t>
      </w:r>
      <w:r>
        <w:t>čním</w:t>
      </w:r>
      <w:r w:rsidR="005F7185">
        <w:t>u</w:t>
      </w:r>
      <w:r>
        <w:t xml:space="preserve"> podání</w:t>
      </w:r>
      <w:r w:rsidRPr="00715587">
        <w:t xml:space="preserve"> do kontaminovaných (mokrých nebo špinavých) oblastí kůže. Před podáním důkladně očistěte a dezinfikujte míst</w:t>
      </w:r>
      <w:r w:rsidR="005F7185">
        <w:t>o</w:t>
      </w:r>
      <w:r w:rsidRPr="00715587">
        <w:t xml:space="preserve"> </w:t>
      </w:r>
      <w:r>
        <w:t>injekčníh</w:t>
      </w:r>
      <w:r w:rsidR="005F7185">
        <w:t>o</w:t>
      </w:r>
      <w:r>
        <w:t xml:space="preserve"> podání</w:t>
      </w:r>
      <w:r w:rsidRPr="00715587">
        <w:t>.</w:t>
      </w:r>
    </w:p>
    <w:p w:rsidR="00042BCE" w:rsidRPr="00715587" w:rsidRDefault="00042BCE" w:rsidP="00042BCE">
      <w:pPr>
        <w:spacing w:line="240" w:lineRule="auto"/>
        <w:jc w:val="both"/>
      </w:pPr>
      <w:r w:rsidRPr="00715587">
        <w:t>Nepodáv</w:t>
      </w:r>
      <w:r w:rsidR="005F7185">
        <w:t>a</w:t>
      </w:r>
      <w:r w:rsidRPr="00715587">
        <w:t>t intravenózně.</w:t>
      </w:r>
    </w:p>
    <w:p w:rsidR="00042BCE" w:rsidRPr="00715587" w:rsidRDefault="00042BCE" w:rsidP="00042BCE">
      <w:pPr>
        <w:spacing w:line="240" w:lineRule="auto"/>
        <w:jc w:val="both"/>
      </w:pPr>
      <w:r w:rsidRPr="00715587">
        <w:lastRenderedPageBreak/>
        <w:t xml:space="preserve">Všechna zvířata by po ošetření měla </w:t>
      </w:r>
      <w:r>
        <w:t>být pod</w:t>
      </w:r>
      <w:r w:rsidRPr="00715587">
        <w:t xml:space="preserve"> odpovídajíc</w:t>
      </w:r>
      <w:r>
        <w:t>ím</w:t>
      </w:r>
      <w:r w:rsidRPr="00715587">
        <w:t xml:space="preserve"> dohled</w:t>
      </w:r>
      <w:r>
        <w:t>em</w:t>
      </w:r>
      <w:r w:rsidRPr="00715587">
        <w:t>.</w:t>
      </w:r>
    </w:p>
    <w:p w:rsidR="00042BCE" w:rsidRPr="00715587" w:rsidRDefault="00042BCE" w:rsidP="00042BCE">
      <w:pPr>
        <w:spacing w:line="240" w:lineRule="auto"/>
        <w:jc w:val="both"/>
      </w:pPr>
      <w:r w:rsidRPr="00715587">
        <w:t>Vyvolání porodu nebo potratu může způsobit dystokii</w:t>
      </w:r>
      <w:r w:rsidR="005F7185">
        <w:t xml:space="preserve"> (ztížený porod)</w:t>
      </w:r>
      <w:r w:rsidRPr="00715587">
        <w:t>, mrtvě narozen</w:t>
      </w:r>
      <w:r>
        <w:t xml:space="preserve">á </w:t>
      </w:r>
      <w:r w:rsidR="005F7185">
        <w:t>mláďata</w:t>
      </w:r>
      <w:r>
        <w:t xml:space="preserve"> </w:t>
      </w:r>
      <w:r w:rsidRPr="00715587">
        <w:t>a/nebo metritidu</w:t>
      </w:r>
      <w:r w:rsidR="005F7185">
        <w:t xml:space="preserve"> (zánět dělohy)</w:t>
      </w:r>
      <w:r w:rsidRPr="00715587">
        <w:t xml:space="preserve">. </w:t>
      </w:r>
      <w:r w:rsidR="005F7185">
        <w:t>Míra v</w:t>
      </w:r>
      <w:r w:rsidRPr="00715587">
        <w:t>ýskyt</w:t>
      </w:r>
      <w:r w:rsidR="005F7185">
        <w:t>u</w:t>
      </w:r>
      <w:r w:rsidRPr="00715587">
        <w:t xml:space="preserve"> zadržené placenty se může zvýšit v závislosti na době </w:t>
      </w:r>
      <w:r>
        <w:t>ošetření</w:t>
      </w:r>
      <w:r w:rsidRPr="00715587">
        <w:t xml:space="preserve"> vzhledem k datu početí.</w:t>
      </w:r>
    </w:p>
    <w:p w:rsidR="00042BCE" w:rsidRPr="00715587" w:rsidRDefault="00042BCE" w:rsidP="00042BCE">
      <w:pPr>
        <w:spacing w:line="240" w:lineRule="auto"/>
        <w:jc w:val="both"/>
      </w:pPr>
      <w:r w:rsidRPr="00715587">
        <w:t>Injek</w:t>
      </w:r>
      <w:r>
        <w:t>ční podání</w:t>
      </w:r>
      <w:r w:rsidRPr="00715587">
        <w:t xml:space="preserve"> do tukové tkáně může vést k neúplné absorpci veterinárního léčivého přípravku.</w:t>
      </w:r>
    </w:p>
    <w:p w:rsidR="00042BCE" w:rsidRPr="00340E68" w:rsidRDefault="00042BCE" w:rsidP="00042BCE">
      <w:pPr>
        <w:spacing w:line="240" w:lineRule="auto"/>
        <w:jc w:val="both"/>
      </w:pPr>
      <w:r w:rsidRPr="00715587">
        <w:t>Kloprostenol může způsobit účinky související s aktivitou prostaglandinu F2α v hladk</w:t>
      </w:r>
      <w:r>
        <w:t>é</w:t>
      </w:r>
      <w:r w:rsidRPr="00715587">
        <w:t xml:space="preserve"> sval</w:t>
      </w:r>
      <w:r>
        <w:t>ovině</w:t>
      </w:r>
      <w:r w:rsidRPr="00715587">
        <w:t>, jako je zvýšená frekvence močení a defekace.</w:t>
      </w: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</w:p>
    <w:p w:rsidR="00042BCE" w:rsidRPr="00B41D57" w:rsidRDefault="00042BCE" w:rsidP="00042BCE">
      <w:pPr>
        <w:keepNext/>
        <w:tabs>
          <w:tab w:val="clear" w:pos="567"/>
        </w:tabs>
        <w:spacing w:line="240" w:lineRule="auto"/>
        <w:jc w:val="both"/>
      </w:pPr>
      <w:r w:rsidRPr="00B41D57">
        <w:rPr>
          <w:u w:val="single"/>
        </w:rPr>
        <w:t>Zvláštní opatření pro osobu, která podává veterinární léčivý přípravek zvířatům</w:t>
      </w:r>
      <w:r w:rsidRPr="00B41D57">
        <w:t>:</w:t>
      </w:r>
    </w:p>
    <w:p w:rsidR="00042BCE" w:rsidRPr="00680C98" w:rsidRDefault="00042BCE" w:rsidP="00042BCE">
      <w:pPr>
        <w:spacing w:line="240" w:lineRule="auto"/>
        <w:jc w:val="both"/>
      </w:pPr>
      <w:r w:rsidRPr="00680C98">
        <w:t xml:space="preserve">Prostaglandiny typu F2α, jako je </w:t>
      </w:r>
      <w:proofErr w:type="spellStart"/>
      <w:r>
        <w:t>k</w:t>
      </w:r>
      <w:r w:rsidRPr="00680C98">
        <w:t>loprostenol</w:t>
      </w:r>
      <w:proofErr w:type="spellEnd"/>
      <w:r w:rsidRPr="00680C98">
        <w:t xml:space="preserve">, </w:t>
      </w:r>
      <w:r w:rsidR="00730729">
        <w:t xml:space="preserve">se </w:t>
      </w:r>
      <w:r w:rsidRPr="00680C98">
        <w:t xml:space="preserve">mohou </w:t>
      </w:r>
      <w:r w:rsidR="00730729">
        <w:t xml:space="preserve">vstřebávat </w:t>
      </w:r>
      <w:r w:rsidRPr="00680C98">
        <w:t xml:space="preserve">kůží a </w:t>
      </w:r>
      <w:r w:rsidR="00730729">
        <w:t xml:space="preserve">vyvolat </w:t>
      </w:r>
      <w:r w:rsidRPr="00680C98">
        <w:t xml:space="preserve">bronchospasmus nebo </w:t>
      </w:r>
      <w:r w:rsidR="00730729">
        <w:t xml:space="preserve">samovolný </w:t>
      </w:r>
      <w:r w:rsidRPr="00680C98">
        <w:t xml:space="preserve">potrat. Při </w:t>
      </w:r>
      <w:r w:rsidR="00730729">
        <w:t>nakládání</w:t>
      </w:r>
      <w:r w:rsidRPr="00680C98">
        <w:t xml:space="preserve"> s veterinárním léčivým přípravkem je třeba dbát </w:t>
      </w:r>
      <w:r w:rsidR="00730729">
        <w:t>zvýšené opatrnosti</w:t>
      </w:r>
      <w:r w:rsidRPr="00680C98">
        <w:t>, aby nedošlo k samo</w:t>
      </w:r>
      <w:r>
        <w:t>podání</w:t>
      </w:r>
      <w:r w:rsidRPr="00680C98">
        <w:t xml:space="preserve"> nebo kontaktu s kůží.</w:t>
      </w:r>
    </w:p>
    <w:p w:rsidR="00042BCE" w:rsidRPr="00680C98" w:rsidRDefault="00042BCE" w:rsidP="00042BCE">
      <w:pPr>
        <w:spacing w:line="240" w:lineRule="auto"/>
        <w:jc w:val="both"/>
      </w:pPr>
      <w:r w:rsidRPr="00680C98">
        <w:t>Těhotné ženy, ženy v</w:t>
      </w:r>
      <w:r w:rsidR="00730729">
        <w:t xml:space="preserve"> plodném </w:t>
      </w:r>
      <w:r w:rsidRPr="00680C98">
        <w:t>věku, astmatici a osoby s</w:t>
      </w:r>
      <w:r w:rsidR="00D43168">
        <w:t xml:space="preserve"> dalšími </w:t>
      </w:r>
      <w:r w:rsidRPr="00680C98">
        <w:t>onemocněními dýchacích cest by se měl</w:t>
      </w:r>
      <w:r w:rsidR="00D43168">
        <w:t>i</w:t>
      </w:r>
      <w:r w:rsidRPr="00680C98">
        <w:t xml:space="preserve"> vyhnout kontaktu s tímto veterinárním léčivým přípravkem. Při </w:t>
      </w:r>
      <w:r>
        <w:t>nakládání</w:t>
      </w:r>
      <w:r w:rsidRPr="00680C98">
        <w:t xml:space="preserve"> s</w:t>
      </w:r>
      <w:r>
        <w:t> </w:t>
      </w:r>
      <w:r w:rsidRPr="00680C98">
        <w:t xml:space="preserve">veterinárním léčivým přípravkem </w:t>
      </w:r>
      <w:r>
        <w:t xml:space="preserve">by se měly </w:t>
      </w:r>
      <w:r w:rsidRPr="00680C98">
        <w:t>používat osobní ochranné prostředky skládající se z</w:t>
      </w:r>
      <w:r>
        <w:t> </w:t>
      </w:r>
      <w:r w:rsidR="00D43168">
        <w:t>gumových</w:t>
      </w:r>
      <w:r w:rsidRPr="00680C98">
        <w:t xml:space="preserve"> rukavic.</w:t>
      </w:r>
    </w:p>
    <w:p w:rsidR="00042BCE" w:rsidRPr="00680C98" w:rsidRDefault="00D43168" w:rsidP="00042BCE">
      <w:pPr>
        <w:spacing w:line="240" w:lineRule="auto"/>
        <w:jc w:val="both"/>
      </w:pPr>
      <w:r>
        <w:t>Při ná</w:t>
      </w:r>
      <w:r w:rsidR="00042BCE" w:rsidRPr="00680C98">
        <w:t>hodné</w:t>
      </w:r>
      <w:r>
        <w:t>m</w:t>
      </w:r>
      <w:r w:rsidR="00042BCE" w:rsidRPr="00680C98">
        <w:t xml:space="preserve"> potřísnění </w:t>
      </w:r>
      <w:r>
        <w:t xml:space="preserve">kůže postižené místo </w:t>
      </w:r>
      <w:r w:rsidR="00042BCE">
        <w:t>ihned</w:t>
      </w:r>
      <w:r w:rsidR="00042BCE" w:rsidRPr="00680C98">
        <w:t xml:space="preserve"> om</w:t>
      </w:r>
      <w:r>
        <w:t xml:space="preserve">yjte </w:t>
      </w:r>
      <w:r w:rsidR="00042BCE" w:rsidRPr="00680C98">
        <w:t xml:space="preserve">mýdlem a vodou. V případě náhodného sebepoškození </w:t>
      </w:r>
      <w:r>
        <w:t xml:space="preserve">injekčně podaným přípravkem </w:t>
      </w:r>
      <w:r w:rsidR="00042BCE" w:rsidRPr="00680C98">
        <w:t xml:space="preserve">nebo </w:t>
      </w:r>
      <w:r>
        <w:t xml:space="preserve">potřísnění </w:t>
      </w:r>
      <w:r w:rsidR="00042BCE" w:rsidRPr="00680C98">
        <w:t>kůž</w:t>
      </w:r>
      <w:r>
        <w:t>e</w:t>
      </w:r>
      <w:r w:rsidR="00042BCE" w:rsidRPr="00680C98">
        <w:t xml:space="preserve"> vyhledejte </w:t>
      </w:r>
      <w:r w:rsidR="00042BCE">
        <w:t xml:space="preserve">ihned </w:t>
      </w:r>
      <w:r w:rsidR="00042BCE" w:rsidRPr="00680C98">
        <w:t>lékařskou pomoc, z</w:t>
      </w:r>
      <w:r>
        <w:t xml:space="preserve">ejména </w:t>
      </w:r>
      <w:r w:rsidR="00042BCE" w:rsidRPr="00680C98">
        <w:t>proto</w:t>
      </w:r>
      <w:r w:rsidR="00042BCE">
        <w:t xml:space="preserve">, </w:t>
      </w:r>
      <w:r w:rsidR="00042BCE" w:rsidRPr="00680C98">
        <w:t>že se může objevit dušnost a ukažte příbalovou informaci nebo etiketu praktickému lékaři.</w:t>
      </w:r>
    </w:p>
    <w:p w:rsidR="00042BCE" w:rsidRPr="00680C98" w:rsidRDefault="00042BCE" w:rsidP="00042BCE">
      <w:pPr>
        <w:spacing w:line="240" w:lineRule="auto"/>
        <w:jc w:val="both"/>
      </w:pPr>
      <w:r w:rsidRPr="00680C98">
        <w:t>Tento veterinární léčivý přípravek může způsobit reakce</w:t>
      </w:r>
      <w:r w:rsidR="00D43168">
        <w:t xml:space="preserve"> z přecitlivělosti</w:t>
      </w:r>
      <w:r w:rsidRPr="00680C98">
        <w:t>. Lidé se známou přecitlivělostí na benzylalkohol by se měli vyhnout kontaktu s veterinárním léčivým přípravkem.</w:t>
      </w:r>
    </w:p>
    <w:p w:rsidR="00042BCE" w:rsidRPr="00680C98" w:rsidRDefault="00042BCE" w:rsidP="00042BCE">
      <w:pPr>
        <w:spacing w:line="240" w:lineRule="auto"/>
        <w:jc w:val="both"/>
      </w:pPr>
    </w:p>
    <w:p w:rsidR="00042BCE" w:rsidRPr="00340E68" w:rsidRDefault="00042BCE" w:rsidP="00042BCE">
      <w:pPr>
        <w:spacing w:line="240" w:lineRule="auto"/>
        <w:jc w:val="both"/>
        <w:rPr>
          <w:lang w:val="fr-FR"/>
        </w:rPr>
      </w:pPr>
      <w:r w:rsidRPr="00680C98">
        <w:t>Po použití si umyjte ruce.</w:t>
      </w:r>
    </w:p>
    <w:p w:rsidR="00042BCE" w:rsidRPr="00B41D57" w:rsidRDefault="00042BCE" w:rsidP="00042BCE">
      <w:pPr>
        <w:spacing w:line="240" w:lineRule="auto"/>
        <w:jc w:val="both"/>
        <w:rPr>
          <w:u w:val="single"/>
        </w:rPr>
      </w:pPr>
    </w:p>
    <w:p w:rsidR="00042BCE" w:rsidRDefault="00042BCE" w:rsidP="00042BCE">
      <w:pPr>
        <w:pStyle w:val="spc2"/>
        <w:ind w:left="0"/>
        <w:jc w:val="both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Březost:</w:t>
      </w:r>
    </w:p>
    <w:p w:rsidR="00042BCE" w:rsidRPr="00340E68" w:rsidRDefault="00042BCE" w:rsidP="00042BCE">
      <w:pPr>
        <w:spacing w:line="240" w:lineRule="auto"/>
        <w:jc w:val="both"/>
      </w:pPr>
      <w:r w:rsidRPr="007521FC">
        <w:t>Nepoužívat u březích zvířat, u kterých není zamýšleno vyvolání potratu nebo porodu.</w:t>
      </w:r>
    </w:p>
    <w:p w:rsidR="00042BCE" w:rsidRDefault="00042BCE" w:rsidP="00042BCE">
      <w:pPr>
        <w:pStyle w:val="Style1"/>
        <w:jc w:val="both"/>
        <w:rPr>
          <w:b w:val="0"/>
          <w:bCs/>
          <w:u w:val="single"/>
        </w:rPr>
      </w:pPr>
    </w:p>
    <w:p w:rsidR="00042BCE" w:rsidRPr="007521FC" w:rsidRDefault="00042BCE" w:rsidP="00042BCE">
      <w:pPr>
        <w:pStyle w:val="Style1"/>
        <w:jc w:val="both"/>
        <w:rPr>
          <w:b w:val="0"/>
          <w:bCs/>
          <w:u w:val="single"/>
        </w:rPr>
      </w:pPr>
      <w:r w:rsidRPr="007521FC">
        <w:rPr>
          <w:b w:val="0"/>
          <w:bCs/>
          <w:u w:val="single"/>
        </w:rPr>
        <w:t>Laktace:</w:t>
      </w:r>
    </w:p>
    <w:p w:rsidR="00042BCE" w:rsidRDefault="00042BCE" w:rsidP="00042BCE">
      <w:pPr>
        <w:pStyle w:val="Style1"/>
        <w:rPr>
          <w:rFonts w:eastAsia="MS Mincho"/>
          <w:b w:val="0"/>
        </w:rPr>
      </w:pPr>
      <w:r w:rsidRPr="00697555">
        <w:rPr>
          <w:rFonts w:eastAsia="MS Mincho"/>
          <w:b w:val="0"/>
        </w:rPr>
        <w:t>Veterinární léčivý přípravek lze použít během laktace.</w:t>
      </w:r>
    </w:p>
    <w:p w:rsidR="00042BCE" w:rsidRDefault="00042BCE" w:rsidP="00042BCE">
      <w:pPr>
        <w:pStyle w:val="Style1"/>
        <w:jc w:val="both"/>
      </w:pPr>
    </w:p>
    <w:p w:rsidR="00042BCE" w:rsidRPr="005D5096" w:rsidRDefault="00042BCE" w:rsidP="00042BCE">
      <w:pPr>
        <w:pStyle w:val="Style1"/>
        <w:jc w:val="both"/>
        <w:rPr>
          <w:b w:val="0"/>
          <w:bCs/>
          <w:u w:val="single"/>
        </w:rPr>
      </w:pPr>
      <w:r w:rsidRPr="005D5096">
        <w:rPr>
          <w:b w:val="0"/>
          <w:bCs/>
          <w:u w:val="single"/>
        </w:rPr>
        <w:t>Plodnost:</w:t>
      </w:r>
    </w:p>
    <w:p w:rsidR="00042BCE" w:rsidRPr="004D2789" w:rsidRDefault="00042BCE" w:rsidP="00042BCE">
      <w:r w:rsidRPr="00731D95">
        <w:rPr>
          <w:bCs/>
        </w:rPr>
        <w:t xml:space="preserve">Kloprostenol má široké bezpečnostní rozpětí a neovlivňuje negativně plodnost skotu. </w:t>
      </w:r>
      <w:r w:rsidRPr="004D2789">
        <w:t xml:space="preserve">Nebyly zaznamenány žádné škodlivé účinky na potomstvo matek ošetřených před inseminací či pářením tímto veterinárním léčivým přípravkem </w:t>
      </w:r>
      <w:r w:rsidRPr="00731D95">
        <w:t xml:space="preserve">a ani po něm podaným přípravkem </w:t>
      </w:r>
      <w:r w:rsidRPr="004D2789">
        <w:t>pro usnadnění početí</w:t>
      </w:r>
      <w:r w:rsidRPr="00731D95">
        <w:t>.</w:t>
      </w: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  <w:bookmarkStart w:id="0" w:name="_Hlk113615439"/>
      <w:r w:rsidRPr="00B41D57">
        <w:rPr>
          <w:u w:val="single"/>
        </w:rPr>
        <w:t>Interakce s jinými léčivými přípravky a další formy interakce</w:t>
      </w:r>
      <w:r w:rsidRPr="00B41D57">
        <w:t>:</w:t>
      </w:r>
    </w:p>
    <w:bookmarkEnd w:id="0"/>
    <w:p w:rsidR="00042BCE" w:rsidRPr="007521FC" w:rsidRDefault="00042BCE" w:rsidP="00042BCE">
      <w:pPr>
        <w:tabs>
          <w:tab w:val="clear" w:pos="567"/>
        </w:tabs>
        <w:spacing w:line="240" w:lineRule="auto"/>
        <w:jc w:val="both"/>
      </w:pPr>
      <w:r w:rsidRPr="007521FC">
        <w:t xml:space="preserve">Současné </w:t>
      </w:r>
      <w:r>
        <w:t>použití</w:t>
      </w:r>
      <w:r w:rsidRPr="007521FC">
        <w:t xml:space="preserve"> oxytocinu a </w:t>
      </w:r>
      <w:r>
        <w:t>k</w:t>
      </w:r>
      <w:r w:rsidRPr="007521FC">
        <w:t>loprostenolu zvyšuje účinky na dělohu.</w:t>
      </w:r>
    </w:p>
    <w:p w:rsidR="00042BCE" w:rsidRPr="007521FC" w:rsidRDefault="00042BCE" w:rsidP="00042BCE">
      <w:pPr>
        <w:tabs>
          <w:tab w:val="clear" w:pos="567"/>
        </w:tabs>
        <w:spacing w:line="240" w:lineRule="auto"/>
        <w:jc w:val="both"/>
      </w:pPr>
      <w:r w:rsidRPr="007521FC">
        <w:t xml:space="preserve">Současné </w:t>
      </w:r>
      <w:r>
        <w:t>použití</w:t>
      </w:r>
      <w:r w:rsidRPr="007521FC">
        <w:t xml:space="preserve"> gestagenů snižuje účinek </w:t>
      </w:r>
      <w:r>
        <w:t>k</w:t>
      </w:r>
      <w:r w:rsidRPr="007521FC">
        <w:t>loprostenolu.</w:t>
      </w:r>
    </w:p>
    <w:p w:rsidR="00042BCE" w:rsidRPr="00340E68" w:rsidRDefault="00042BCE" w:rsidP="00042BCE">
      <w:pPr>
        <w:tabs>
          <w:tab w:val="clear" w:pos="567"/>
        </w:tabs>
        <w:spacing w:line="240" w:lineRule="auto"/>
        <w:jc w:val="both"/>
      </w:pPr>
      <w:r w:rsidRPr="007521FC">
        <w:t>Nepodávejte s nesteroidními protizánětlivými l</w:t>
      </w:r>
      <w:r w:rsidR="00A117B0">
        <w:t>átkami</w:t>
      </w:r>
      <w:r w:rsidRPr="007521FC">
        <w:t xml:space="preserve"> (NSAID), protože inhibují syntézu endogenních prostaglandinů.</w:t>
      </w: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  <w:r w:rsidRPr="00B41D57">
        <w:rPr>
          <w:u w:val="single"/>
        </w:rPr>
        <w:t>Předávkování</w:t>
      </w:r>
      <w:r w:rsidRPr="00B41D57">
        <w:t>:</w:t>
      </w:r>
    </w:p>
    <w:p w:rsidR="00042BCE" w:rsidRPr="00727596" w:rsidRDefault="00042BCE" w:rsidP="00042BCE">
      <w:pPr>
        <w:spacing w:line="240" w:lineRule="auto"/>
        <w:jc w:val="both"/>
      </w:pPr>
      <w:r w:rsidRPr="00727596">
        <w:t xml:space="preserve">Při </w:t>
      </w:r>
      <w:r w:rsidR="005F7185">
        <w:t xml:space="preserve">předávkování dávkou </w:t>
      </w:r>
      <w:r w:rsidRPr="00727596">
        <w:t>5</w:t>
      </w:r>
      <w:r w:rsidR="005F7185">
        <w:t>krát</w:t>
      </w:r>
      <w:r w:rsidRPr="00727596">
        <w:t xml:space="preserve"> až 10</w:t>
      </w:r>
      <w:r w:rsidR="005F7185">
        <w:t xml:space="preserve">krát </w:t>
      </w:r>
      <w:proofErr w:type="gramStart"/>
      <w:r w:rsidR="005F7185">
        <w:t>vyšší</w:t>
      </w:r>
      <w:proofErr w:type="gramEnd"/>
      <w:r w:rsidR="005F7185">
        <w:t xml:space="preserve"> než doporučenou je</w:t>
      </w:r>
      <w:r w:rsidRPr="00727596">
        <w:t xml:space="preserve"> nejčastějším nežádoucím účinkem zvýšená rektální teplota. T</w:t>
      </w:r>
      <w:r w:rsidR="005F7185">
        <w:t>a</w:t>
      </w:r>
      <w:r w:rsidRPr="00727596">
        <w:t xml:space="preserve"> je však obvykle přechodn</w:t>
      </w:r>
      <w:r w:rsidR="005F7185">
        <w:t>á</w:t>
      </w:r>
      <w:r w:rsidRPr="00727596">
        <w:t xml:space="preserve"> a neškodí zvířeti. U některých zvířat lze také pozorovat omezené slinění nebo přechodný průjem.</w:t>
      </w:r>
    </w:p>
    <w:p w:rsidR="00042BCE" w:rsidRPr="00340E68" w:rsidRDefault="00042BCE" w:rsidP="00042BCE">
      <w:pPr>
        <w:spacing w:line="240" w:lineRule="auto"/>
        <w:jc w:val="both"/>
      </w:pPr>
      <w:r w:rsidRPr="00727596">
        <w:t xml:space="preserve">Nejsou k dispozici žádná antidota, léčba by měla být symptomatická </w:t>
      </w:r>
      <w:r>
        <w:t>s vědomím</w:t>
      </w:r>
      <w:r w:rsidRPr="00727596">
        <w:t>, že prostaglandin F2α ovlivňuje buňky hladkého svalstva.</w:t>
      </w: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</w:p>
    <w:p w:rsidR="00042BCE" w:rsidRPr="00B41D57" w:rsidRDefault="00042BCE" w:rsidP="00042BCE">
      <w:pPr>
        <w:tabs>
          <w:tab w:val="clear" w:pos="567"/>
        </w:tabs>
        <w:spacing w:line="240" w:lineRule="auto"/>
        <w:jc w:val="both"/>
      </w:pPr>
      <w:r w:rsidRPr="00B41D57">
        <w:rPr>
          <w:u w:val="single"/>
        </w:rPr>
        <w:t>Hlavní inkompatibility</w:t>
      </w:r>
      <w:r w:rsidRPr="00B41D57">
        <w:t>:</w:t>
      </w:r>
    </w:p>
    <w:p w:rsidR="00042BCE" w:rsidRPr="007F05EE" w:rsidRDefault="00042BCE" w:rsidP="00042BCE">
      <w:pPr>
        <w:spacing w:line="240" w:lineRule="auto"/>
        <w:jc w:val="both"/>
      </w:pPr>
      <w:r w:rsidRPr="007F05EE">
        <w:t xml:space="preserve">Studie kompatibility nejsou k dispozici, a proto tento veterinární léčivý přípravek nesmí být </w:t>
      </w:r>
      <w:r>
        <w:t>mís</w:t>
      </w:r>
      <w:r w:rsidRPr="007F05EE">
        <w:t>en s</w:t>
      </w:r>
      <w:r>
        <w:t> </w:t>
      </w:r>
      <w:r w:rsidRPr="007F05EE">
        <w:t>žádnými dalšími veterinárními léčivými přípravky.</w:t>
      </w:r>
    </w:p>
    <w:p w:rsidR="002509DC" w:rsidRDefault="002509DC">
      <w:pPr>
        <w:jc w:val="both"/>
        <w:rPr>
          <w:b/>
        </w:rPr>
      </w:pPr>
    </w:p>
    <w:p w:rsidR="002509DC" w:rsidRDefault="00F372B4" w:rsidP="00C5275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lastRenderedPageBreak/>
        <w:t>7.</w:t>
      </w:r>
      <w:r>
        <w:rPr>
          <w:b/>
          <w:color w:val="000000"/>
        </w:rPr>
        <w:tab/>
        <w:t>Nežádoucí účinky</w:t>
      </w:r>
    </w:p>
    <w:p w:rsidR="002509DC" w:rsidRDefault="002509DC" w:rsidP="00C5275A">
      <w:pPr>
        <w:keepNext/>
        <w:spacing w:line="240" w:lineRule="auto"/>
        <w:jc w:val="both"/>
      </w:pPr>
    </w:p>
    <w:p w:rsidR="00042BCE" w:rsidRPr="00340E68" w:rsidRDefault="00042BCE" w:rsidP="00C5275A">
      <w:pPr>
        <w:keepNext/>
        <w:tabs>
          <w:tab w:val="num" w:pos="284"/>
        </w:tabs>
        <w:spacing w:line="240" w:lineRule="auto"/>
      </w:pPr>
      <w:r>
        <w:t>Skot (krávy</w:t>
      </w:r>
      <w:r w:rsidRPr="00F038F8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042BCE" w:rsidTr="002F5C1A">
        <w:tc>
          <w:tcPr>
            <w:tcW w:w="1957" w:type="pct"/>
          </w:tcPr>
          <w:p w:rsidR="00042BCE" w:rsidRPr="00B41D57" w:rsidRDefault="00042BCE" w:rsidP="002F5C1A">
            <w:pPr>
              <w:spacing w:line="240" w:lineRule="auto"/>
            </w:pPr>
            <w:r w:rsidRPr="00B41D57">
              <w:t>Vzácné</w:t>
            </w:r>
          </w:p>
          <w:p w:rsidR="00042BCE" w:rsidRPr="00B41D57" w:rsidRDefault="00042BCE" w:rsidP="002F5C1A">
            <w:pPr>
              <w:spacing w:line="240" w:lineRule="auto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:rsidR="00042BCE" w:rsidRPr="00B41D57" w:rsidRDefault="00042B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Infekce v místě injekčního podání</w:t>
            </w:r>
            <w:r>
              <w:rPr>
                <w:iCs/>
                <w:vertAlign w:val="superscript"/>
              </w:rPr>
              <w:t>1</w:t>
            </w:r>
          </w:p>
        </w:tc>
      </w:tr>
      <w:tr w:rsidR="00042BCE" w:rsidTr="002F5C1A">
        <w:tc>
          <w:tcPr>
            <w:tcW w:w="1957" w:type="pct"/>
          </w:tcPr>
          <w:p w:rsidR="00042BCE" w:rsidRPr="00B41D57" w:rsidRDefault="00042BCE" w:rsidP="002F5C1A">
            <w:pPr>
              <w:spacing w:line="240" w:lineRule="auto"/>
            </w:pPr>
            <w:r w:rsidRPr="00B41D57">
              <w:t>Velmi vzácné</w:t>
            </w:r>
          </w:p>
          <w:p w:rsidR="00042BCE" w:rsidRPr="00B41D57" w:rsidRDefault="00042BCE" w:rsidP="002F5C1A">
            <w:pPr>
              <w:spacing w:line="240" w:lineRule="auto"/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:rsidR="00042BCE" w:rsidRDefault="00042BCE" w:rsidP="002F5C1A">
            <w:pPr>
              <w:spacing w:line="240" w:lineRule="auto"/>
              <w:rPr>
                <w:iCs/>
              </w:rPr>
            </w:pPr>
            <w:r w:rsidRPr="00787C76">
              <w:rPr>
                <w:iCs/>
              </w:rPr>
              <w:t>Ana</w:t>
            </w:r>
            <w:r>
              <w:rPr>
                <w:iCs/>
              </w:rPr>
              <w:t>f</w:t>
            </w:r>
            <w:r w:rsidRPr="00787C76">
              <w:rPr>
                <w:iCs/>
              </w:rPr>
              <w:t>ylax</w:t>
            </w:r>
            <w:r>
              <w:rPr>
                <w:iCs/>
              </w:rPr>
              <w:t>e</w:t>
            </w:r>
            <w:r>
              <w:rPr>
                <w:iCs/>
                <w:vertAlign w:val="superscript"/>
              </w:rPr>
              <w:t>2</w:t>
            </w:r>
            <w:r w:rsidRPr="00787C76">
              <w:rPr>
                <w:iCs/>
              </w:rPr>
              <w:t>;</w:t>
            </w:r>
          </w:p>
          <w:p w:rsidR="00042BCE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042BCE">
              <w:rPr>
                <w:iCs/>
              </w:rPr>
              <w:t>výšená frekvence dýchání</w:t>
            </w:r>
            <w:r w:rsidR="00042BCE">
              <w:rPr>
                <w:iCs/>
                <w:vertAlign w:val="superscript"/>
              </w:rPr>
              <w:t>3</w:t>
            </w:r>
            <w:r w:rsidR="00042BCE" w:rsidRPr="0074722D">
              <w:rPr>
                <w:iCs/>
              </w:rPr>
              <w:t>;</w:t>
            </w:r>
          </w:p>
          <w:p w:rsidR="00042BCE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042BCE">
              <w:rPr>
                <w:iCs/>
              </w:rPr>
              <w:t>výšená srdeční frekvence</w:t>
            </w:r>
            <w:r w:rsidR="00042BCE">
              <w:rPr>
                <w:iCs/>
                <w:vertAlign w:val="superscript"/>
              </w:rPr>
              <w:t>3</w:t>
            </w:r>
            <w:r w:rsidR="00042BCE" w:rsidRPr="00787C76">
              <w:rPr>
                <w:iCs/>
              </w:rPr>
              <w:t>;</w:t>
            </w:r>
          </w:p>
          <w:p w:rsidR="00042BCE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042BCE" w:rsidRPr="00E1022F">
              <w:rPr>
                <w:iCs/>
              </w:rPr>
              <w:t>bdomin</w:t>
            </w:r>
            <w:r w:rsidR="00042BCE">
              <w:rPr>
                <w:iCs/>
              </w:rPr>
              <w:t>ální bolestivost</w:t>
            </w:r>
            <w:r w:rsidR="00042BCE">
              <w:rPr>
                <w:iCs/>
                <w:vertAlign w:val="superscript"/>
              </w:rPr>
              <w:t>3</w:t>
            </w:r>
            <w:r w:rsidR="00042BCE" w:rsidRPr="00733314">
              <w:rPr>
                <w:iCs/>
              </w:rPr>
              <w:t xml:space="preserve">, </w:t>
            </w:r>
            <w:r w:rsidR="00042BCE">
              <w:rPr>
                <w:iCs/>
              </w:rPr>
              <w:t>průjem</w:t>
            </w:r>
            <w:r w:rsidR="00042BCE">
              <w:rPr>
                <w:iCs/>
                <w:vertAlign w:val="superscript"/>
              </w:rPr>
              <w:t>3,5</w:t>
            </w:r>
            <w:r w:rsidR="00042BCE">
              <w:rPr>
                <w:iCs/>
              </w:rPr>
              <w:t>;</w:t>
            </w:r>
          </w:p>
          <w:p w:rsidR="00042BCE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042BCE" w:rsidRPr="00787C76">
              <w:rPr>
                <w:iCs/>
              </w:rPr>
              <w:t>n</w:t>
            </w:r>
            <w:r w:rsidR="00042BCE">
              <w:rPr>
                <w:iCs/>
              </w:rPr>
              <w:t>k</w:t>
            </w:r>
            <w:r w:rsidR="00042BCE" w:rsidRPr="00787C76">
              <w:rPr>
                <w:iCs/>
              </w:rPr>
              <w:t>oordina</w:t>
            </w:r>
            <w:r w:rsidR="00042BCE">
              <w:rPr>
                <w:iCs/>
              </w:rPr>
              <w:t>ce</w:t>
            </w:r>
            <w:r w:rsidR="00042BCE">
              <w:rPr>
                <w:iCs/>
                <w:vertAlign w:val="superscript"/>
              </w:rPr>
              <w:t>3</w:t>
            </w:r>
            <w:r w:rsidR="00042BCE" w:rsidRPr="00BB025F">
              <w:rPr>
                <w:iCs/>
              </w:rPr>
              <w:t>;</w:t>
            </w:r>
          </w:p>
          <w:p w:rsidR="00042BCE" w:rsidRPr="00E042C2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042BCE">
              <w:rPr>
                <w:iCs/>
              </w:rPr>
              <w:t>lehnutí</w:t>
            </w:r>
            <w:r w:rsidR="00042BCE">
              <w:rPr>
                <w:iCs/>
                <w:vertAlign w:val="superscript"/>
              </w:rPr>
              <w:t>3</w:t>
            </w:r>
            <w:r w:rsidR="00042BCE">
              <w:rPr>
                <w:iCs/>
              </w:rPr>
              <w:t>;</w:t>
            </w:r>
          </w:p>
          <w:p w:rsidR="00042BCE" w:rsidRPr="00310F57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042BCE">
              <w:rPr>
                <w:iCs/>
              </w:rPr>
              <w:t xml:space="preserve">adržená </w:t>
            </w:r>
            <w:r w:rsidR="00042BCE" w:rsidRPr="00310F57">
              <w:rPr>
                <w:iCs/>
              </w:rPr>
              <w:t>placenta</w:t>
            </w:r>
            <w:r w:rsidR="00042BCE" w:rsidRPr="00310F57">
              <w:rPr>
                <w:iCs/>
                <w:vertAlign w:val="superscript"/>
              </w:rPr>
              <w:t>4</w:t>
            </w:r>
            <w:r w:rsidR="00042BCE" w:rsidRPr="00310F57">
              <w:rPr>
                <w:iCs/>
              </w:rPr>
              <w:t>,</w:t>
            </w:r>
            <w:r w:rsidR="00042BCE" w:rsidRPr="00340E68">
              <w:rPr>
                <w:rFonts w:eastAsia="Calibri"/>
                <w:iCs/>
                <w:kern w:val="2"/>
              </w:rPr>
              <w:t xml:space="preserve"> metritida</w:t>
            </w:r>
            <w:r w:rsidR="00042BCE" w:rsidRPr="00340E68">
              <w:rPr>
                <w:rFonts w:eastAsia="Calibri"/>
                <w:iCs/>
                <w:kern w:val="2"/>
                <w:vertAlign w:val="superscript"/>
              </w:rPr>
              <w:t>4</w:t>
            </w:r>
            <w:r w:rsidR="00042BCE" w:rsidRPr="00340E68">
              <w:rPr>
                <w:rFonts w:eastAsia="Calibri"/>
                <w:iCs/>
                <w:kern w:val="2"/>
              </w:rPr>
              <w:t>, dystokie</w:t>
            </w:r>
            <w:r w:rsidR="00042BCE" w:rsidRPr="00340E68">
              <w:rPr>
                <w:rFonts w:eastAsia="Calibri"/>
                <w:iCs/>
                <w:kern w:val="2"/>
                <w:vertAlign w:val="superscript"/>
              </w:rPr>
              <w:t>4</w:t>
            </w:r>
            <w:r w:rsidR="00042BCE" w:rsidRPr="00340E68">
              <w:rPr>
                <w:rFonts w:eastAsia="Calibri"/>
                <w:iCs/>
                <w:kern w:val="2"/>
              </w:rPr>
              <w:t xml:space="preserve">, </w:t>
            </w:r>
            <w:r w:rsidR="00042BCE" w:rsidRPr="004D2789">
              <w:rPr>
                <w:rFonts w:eastAsia="Calibri"/>
                <w:iCs/>
                <w:kern w:val="2"/>
              </w:rPr>
              <w:t>mrtvě narozená</w:t>
            </w:r>
            <w:r w:rsidR="00042BCE" w:rsidRPr="00340E68">
              <w:rPr>
                <w:rFonts w:eastAsia="Calibri"/>
                <w:iCs/>
                <w:kern w:val="2"/>
              </w:rPr>
              <w:t xml:space="preserve"> telata</w:t>
            </w:r>
            <w:r w:rsidR="00042BCE" w:rsidRPr="00340E68">
              <w:rPr>
                <w:rFonts w:eastAsia="Calibri"/>
                <w:iCs/>
                <w:kern w:val="2"/>
                <w:vertAlign w:val="superscript"/>
              </w:rPr>
              <w:t>4</w:t>
            </w:r>
            <w:r w:rsidR="00042BCE" w:rsidRPr="00310F57">
              <w:rPr>
                <w:iCs/>
              </w:rPr>
              <w:t>;</w:t>
            </w:r>
          </w:p>
          <w:p w:rsidR="00042BCE" w:rsidRPr="00B41D57" w:rsidRDefault="005A59CE" w:rsidP="002F5C1A">
            <w:pPr>
              <w:spacing w:line="240" w:lineRule="auto"/>
              <w:rPr>
                <w:iCs/>
              </w:rPr>
            </w:pPr>
            <w:r>
              <w:rPr>
                <w:iCs/>
              </w:rPr>
              <w:t>n</w:t>
            </w:r>
            <w:r w:rsidR="00042BCE">
              <w:rPr>
                <w:iCs/>
              </w:rPr>
              <w:t>eklid, časté močení</w:t>
            </w:r>
            <w:r w:rsidR="00042BCE">
              <w:rPr>
                <w:iCs/>
                <w:vertAlign w:val="superscript"/>
              </w:rPr>
              <w:t>3,5</w:t>
            </w:r>
          </w:p>
        </w:tc>
      </w:tr>
    </w:tbl>
    <w:p w:rsidR="00042BCE" w:rsidRPr="00A97784" w:rsidRDefault="00042BCE" w:rsidP="00042BCE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 xml:space="preserve">1 </w:t>
      </w:r>
      <w:r w:rsidRPr="00A97784">
        <w:rPr>
          <w:sz w:val="20"/>
        </w:rPr>
        <w:t xml:space="preserve">Může se objevit, pokud anaerobní bakterie proniknou do místa </w:t>
      </w:r>
      <w:r w:rsidR="00A117B0">
        <w:rPr>
          <w:sz w:val="20"/>
        </w:rPr>
        <w:t xml:space="preserve">injekčního </w:t>
      </w:r>
      <w:r w:rsidRPr="00A97784">
        <w:rPr>
          <w:sz w:val="20"/>
        </w:rPr>
        <w:t>podání, zejména po intramuskulárním podání, a může dojít k</w:t>
      </w:r>
      <w:r>
        <w:rPr>
          <w:sz w:val="20"/>
        </w:rPr>
        <w:t>e</w:t>
      </w:r>
      <w:r w:rsidRPr="00A97784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</w:t>
      </w:r>
      <w:r>
        <w:rPr>
          <w:sz w:val="20"/>
        </w:rPr>
        <w:t>striktně</w:t>
      </w:r>
      <w:r w:rsidRPr="00A97784">
        <w:rPr>
          <w:sz w:val="20"/>
        </w:rPr>
        <w:t xml:space="preserve"> aseptické techniky.</w:t>
      </w:r>
    </w:p>
    <w:p w:rsidR="00042BCE" w:rsidRPr="00A97784" w:rsidRDefault="00042BCE" w:rsidP="00042BCE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2</w:t>
      </w:r>
      <w:r w:rsidRPr="00A97784">
        <w:rPr>
          <w:sz w:val="20"/>
        </w:rPr>
        <w:t xml:space="preserve"> Vyžaduje okamžitou lékařskou pomoc. Může být život ohrožující.</w:t>
      </w:r>
    </w:p>
    <w:p w:rsidR="00042BCE" w:rsidRPr="00A97784" w:rsidRDefault="00042BCE" w:rsidP="00042BCE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3</w:t>
      </w:r>
      <w:r w:rsidRPr="00A97784">
        <w:rPr>
          <w:sz w:val="20"/>
        </w:rPr>
        <w:t xml:space="preserve"> Kloprostenol může vyvolat účinky podobné aktivitě prostaglandinu F2α v hladké svalovině.</w:t>
      </w:r>
    </w:p>
    <w:p w:rsidR="00042BCE" w:rsidRPr="00A97784" w:rsidRDefault="00042BCE" w:rsidP="00042BCE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4</w:t>
      </w:r>
      <w:r w:rsidRPr="00A97784">
        <w:rPr>
          <w:sz w:val="20"/>
        </w:rPr>
        <w:t xml:space="preserve"> Může být způsobeno indukcí porodu nebo potratem. V rámci indukce porodu může být v závislosti na datu </w:t>
      </w:r>
      <w:r>
        <w:rPr>
          <w:sz w:val="20"/>
        </w:rPr>
        <w:t>ošetření</w:t>
      </w:r>
      <w:r w:rsidRPr="00A97784">
        <w:rPr>
          <w:sz w:val="20"/>
        </w:rPr>
        <w:t xml:space="preserve"> oproti datu početí zvýšený výskyt retence placenty.</w:t>
      </w:r>
    </w:p>
    <w:p w:rsidR="00042BCE" w:rsidRPr="00340E68" w:rsidRDefault="00042BCE" w:rsidP="00042BCE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5</w:t>
      </w:r>
      <w:r w:rsidRPr="00A97784">
        <w:rPr>
          <w:sz w:val="20"/>
        </w:rPr>
        <w:t xml:space="preserve"> V případě výskytu jsou tyto účinky pozorovány do 15 minut po </w:t>
      </w:r>
      <w:r w:rsidR="00A117B0">
        <w:rPr>
          <w:sz w:val="20"/>
        </w:rPr>
        <w:t xml:space="preserve">injekčním </w:t>
      </w:r>
      <w:r>
        <w:rPr>
          <w:sz w:val="20"/>
        </w:rPr>
        <w:t>podání</w:t>
      </w:r>
      <w:r w:rsidRPr="00A97784">
        <w:rPr>
          <w:sz w:val="20"/>
        </w:rPr>
        <w:t xml:space="preserve"> a obvykle vymizí po jedné hodině.</w:t>
      </w:r>
    </w:p>
    <w:p w:rsidR="002509DC" w:rsidRDefault="002509DC">
      <w:pPr>
        <w:tabs>
          <w:tab w:val="left" w:pos="-720"/>
        </w:tabs>
        <w:jc w:val="both"/>
      </w:pPr>
    </w:p>
    <w:p w:rsidR="00042BCE" w:rsidRDefault="00042BCE" w:rsidP="00042BCE">
      <w:pPr>
        <w:spacing w:line="240" w:lineRule="auto"/>
        <w:jc w:val="both"/>
      </w:pPr>
      <w:r w:rsidRPr="00B0504E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</w:t>
      </w:r>
      <w:r w:rsidR="00313607">
        <w:t>ému hlášení nežádoucích účinků:</w:t>
      </w:r>
    </w:p>
    <w:p w:rsidR="00C5275A" w:rsidRPr="00B41D57" w:rsidRDefault="00C5275A" w:rsidP="00042BCE">
      <w:pPr>
        <w:spacing w:line="240" w:lineRule="auto"/>
        <w:jc w:val="both"/>
      </w:pPr>
    </w:p>
    <w:p w:rsidR="00313607" w:rsidRDefault="00042BCE" w:rsidP="00042BCE">
      <w:pPr>
        <w:tabs>
          <w:tab w:val="left" w:pos="-720"/>
        </w:tabs>
        <w:suppressAutoHyphens/>
        <w:spacing w:line="240" w:lineRule="auto"/>
        <w:jc w:val="both"/>
      </w:pPr>
      <w:bookmarkStart w:id="1" w:name="_Hlk141952418"/>
      <w:r w:rsidRPr="00A6482F">
        <w:t>Ústav pro státní kontrolu veterinárních biopreparátů a léčiv</w:t>
      </w:r>
    </w:p>
    <w:p w:rsidR="00313607" w:rsidRDefault="00042BCE" w:rsidP="00042BCE">
      <w:pPr>
        <w:tabs>
          <w:tab w:val="left" w:pos="-720"/>
        </w:tabs>
        <w:suppressAutoHyphens/>
        <w:spacing w:line="240" w:lineRule="auto"/>
        <w:jc w:val="both"/>
      </w:pPr>
      <w:r w:rsidRPr="00A6482F">
        <w:t xml:space="preserve">Hudcova </w:t>
      </w:r>
      <w:r>
        <w:t>232/</w:t>
      </w:r>
      <w:proofErr w:type="gramStart"/>
      <w:r w:rsidRPr="00A6482F">
        <w:t>56a</w:t>
      </w:r>
      <w:proofErr w:type="gramEnd"/>
      <w:r>
        <w:t xml:space="preserve"> </w:t>
      </w:r>
    </w:p>
    <w:p w:rsidR="00313607" w:rsidRDefault="00042BCE" w:rsidP="00042BCE">
      <w:pPr>
        <w:tabs>
          <w:tab w:val="left" w:pos="-720"/>
        </w:tabs>
        <w:suppressAutoHyphens/>
        <w:spacing w:line="240" w:lineRule="auto"/>
        <w:jc w:val="both"/>
      </w:pPr>
      <w:r w:rsidRPr="00A6482F">
        <w:t>621 00 Brno</w:t>
      </w:r>
    </w:p>
    <w:p w:rsidR="004661FC" w:rsidRDefault="00042BCE" w:rsidP="00042BCE">
      <w:pPr>
        <w:tabs>
          <w:tab w:val="left" w:pos="-720"/>
        </w:tabs>
        <w:suppressAutoHyphens/>
        <w:spacing w:line="240" w:lineRule="auto"/>
        <w:jc w:val="both"/>
        <w:rPr>
          <w:rStyle w:val="Hypertextovodkaz"/>
        </w:rPr>
      </w:pPr>
      <w:r>
        <w:t>e-m</w:t>
      </w:r>
      <w:r w:rsidRPr="00A6482F">
        <w:t xml:space="preserve">ail: </w:t>
      </w:r>
      <w:hyperlink r:id="rId8" w:history="1">
        <w:r w:rsidRPr="00A6482F">
          <w:rPr>
            <w:rStyle w:val="Hypertextovodkaz"/>
          </w:rPr>
          <w:t>adr@uskvbl.cz</w:t>
        </w:r>
      </w:hyperlink>
    </w:p>
    <w:p w:rsidR="00313607" w:rsidRPr="00891745" w:rsidRDefault="004661FC" w:rsidP="00891745">
      <w:pPr>
        <w:spacing w:line="240" w:lineRule="auto"/>
        <w:rPr>
          <w:rStyle w:val="Hypertextovodkaz"/>
          <w:color w:val="auto"/>
          <w:u w:val="none"/>
        </w:rPr>
      </w:pPr>
      <w:r w:rsidRPr="00C672C7">
        <w:t>tel.: +420 720 940</w:t>
      </w:r>
      <w:r>
        <w:t> </w:t>
      </w:r>
      <w:r w:rsidRPr="00C672C7">
        <w:t>693</w:t>
      </w:r>
      <w:r w:rsidR="00042BCE">
        <w:rPr>
          <w:rStyle w:val="Hypertextovodkaz"/>
        </w:rPr>
        <w:t xml:space="preserve"> </w:t>
      </w:r>
    </w:p>
    <w:p w:rsidR="00042BCE" w:rsidRPr="00A6482F" w:rsidRDefault="00042BCE" w:rsidP="00042BCE">
      <w:pPr>
        <w:tabs>
          <w:tab w:val="left" w:pos="-720"/>
        </w:tabs>
        <w:suppressAutoHyphens/>
        <w:spacing w:line="240" w:lineRule="auto"/>
        <w:jc w:val="both"/>
      </w:pPr>
      <w:r w:rsidRPr="00A6482F">
        <w:t>Webové stránky:</w:t>
      </w:r>
      <w:r>
        <w:t xml:space="preserve"> </w:t>
      </w:r>
      <w:hyperlink r:id="rId9" w:history="1">
        <w:r w:rsidRPr="00A6482F">
          <w:rPr>
            <w:rStyle w:val="Hypertextovodkaz"/>
          </w:rPr>
          <w:t>http://www.uskvbl.cz/cs/farmakovigilance</w:t>
        </w:r>
      </w:hyperlink>
    </w:p>
    <w:bookmarkEnd w:id="1"/>
    <w:p w:rsidR="00042BCE" w:rsidRDefault="00042BCE" w:rsidP="00042BCE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8.</w:t>
      </w:r>
      <w:r>
        <w:rPr>
          <w:b/>
          <w:color w:val="000000"/>
        </w:rPr>
        <w:tab/>
        <w:t>Dávkování pro každý druh, cesty a způsob podání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spacing w:line="240" w:lineRule="auto"/>
        <w:jc w:val="both"/>
      </w:pPr>
      <w:r>
        <w:t>Intramuskulární podání.</w:t>
      </w:r>
    </w:p>
    <w:p w:rsidR="002509DC" w:rsidRDefault="002509DC">
      <w:pPr>
        <w:spacing w:line="240" w:lineRule="auto"/>
        <w:jc w:val="both"/>
      </w:pPr>
    </w:p>
    <w:p w:rsidR="00042BCE" w:rsidRPr="004D2789" w:rsidRDefault="00042BCE" w:rsidP="00042BCE">
      <w:pPr>
        <w:spacing w:line="240" w:lineRule="auto"/>
        <w:jc w:val="both"/>
        <w:rPr>
          <w:bCs/>
          <w:u w:val="single"/>
        </w:rPr>
      </w:pPr>
      <w:r w:rsidRPr="004D2789">
        <w:rPr>
          <w:bCs/>
          <w:u w:val="single"/>
        </w:rPr>
        <w:t>Skot (krávy):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 xml:space="preserve">Jedna dávka odpovídá 500 </w:t>
      </w:r>
      <w:r w:rsidR="004661FC">
        <w:rPr>
          <w:bCs/>
        </w:rPr>
        <w:t>µg</w:t>
      </w:r>
      <w:r w:rsidRPr="00DD6C59">
        <w:rPr>
          <w:bCs/>
        </w:rPr>
        <w:t xml:space="preserve"> </w:t>
      </w:r>
      <w:proofErr w:type="spellStart"/>
      <w:r w:rsidRPr="00DD6C59">
        <w:rPr>
          <w:bCs/>
        </w:rPr>
        <w:t>kloprostenolu</w:t>
      </w:r>
      <w:proofErr w:type="spellEnd"/>
      <w:r w:rsidRPr="00DD6C59">
        <w:rPr>
          <w:bCs/>
        </w:rPr>
        <w:t xml:space="preserve"> </w:t>
      </w:r>
      <w:r w:rsidRPr="0023437F">
        <w:rPr>
          <w:bCs/>
          <w:i/>
        </w:rPr>
        <w:t>pro toto</w:t>
      </w:r>
      <w:r w:rsidRPr="00DD6C59">
        <w:rPr>
          <w:bCs/>
        </w:rPr>
        <w:t>, což odpovídá 2 ml veterinárního léčivého přípravku.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Indukce a synchronizace říje: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Každému zvířeti podejte jednu dávku. Pokud nejsou pozorovány žádné příznaky říje, lze po 11 dnech podat druhou dávku.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Léčba klinické a subklinické endometritidy v přítomnosti funkčního žlutého tělíska: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Každému zvířeti podejte jednu dávku. V případě potřeby opakujte ošetření po 10-14 dnech.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Léčba ovariálních luteálních cyst: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Každému zvířeti podejte jednu dávku.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Vyvolání porodu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Pod</w:t>
      </w:r>
      <w:r w:rsidR="004661FC">
        <w:rPr>
          <w:bCs/>
        </w:rPr>
        <w:t>ej</w:t>
      </w:r>
      <w:r w:rsidRPr="00DD6C59">
        <w:rPr>
          <w:bCs/>
        </w:rPr>
        <w:t>t</w:t>
      </w:r>
      <w:r w:rsidR="004661FC">
        <w:rPr>
          <w:bCs/>
        </w:rPr>
        <w:t>e</w:t>
      </w:r>
      <w:r w:rsidRPr="00DD6C59">
        <w:rPr>
          <w:bCs/>
        </w:rPr>
        <w:t xml:space="preserve"> jednu dávku zvíře</w:t>
      </w:r>
      <w:r>
        <w:rPr>
          <w:bCs/>
        </w:rPr>
        <w:t>ti</w:t>
      </w:r>
      <w:r w:rsidRPr="00DD6C59">
        <w:rPr>
          <w:bCs/>
        </w:rPr>
        <w:t>, ne dříve než 10 dnů před očekávaným datem otelení.</w:t>
      </w:r>
    </w:p>
    <w:p w:rsidR="00042BCE" w:rsidRPr="00DD6C59" w:rsidRDefault="00042BCE" w:rsidP="00042BCE">
      <w:pPr>
        <w:spacing w:line="240" w:lineRule="auto"/>
        <w:jc w:val="both"/>
        <w:rPr>
          <w:bCs/>
        </w:rPr>
      </w:pPr>
    </w:p>
    <w:p w:rsidR="00042BCE" w:rsidRPr="00DD6C59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 xml:space="preserve">Vyvolání potratu do 150. dne </w:t>
      </w:r>
      <w:r>
        <w:rPr>
          <w:bCs/>
        </w:rPr>
        <w:t>březosti</w:t>
      </w:r>
      <w:r w:rsidRPr="00DD6C59">
        <w:rPr>
          <w:bCs/>
        </w:rPr>
        <w:t>:</w:t>
      </w:r>
    </w:p>
    <w:p w:rsidR="00042BCE" w:rsidRPr="00340E68" w:rsidRDefault="00042BCE" w:rsidP="00042BCE">
      <w:pPr>
        <w:spacing w:line="240" w:lineRule="auto"/>
        <w:jc w:val="both"/>
        <w:rPr>
          <w:bCs/>
        </w:rPr>
      </w:pPr>
      <w:r w:rsidRPr="00DD6C59">
        <w:rPr>
          <w:bCs/>
        </w:rPr>
        <w:t>Podejte jednu dávku zvířeti mezi 5. a 150. dnem březosti.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9.</w:t>
      </w:r>
      <w:r>
        <w:rPr>
          <w:b/>
          <w:color w:val="000000"/>
        </w:rPr>
        <w:tab/>
        <w:t>Informace o správném podávání</w:t>
      </w:r>
    </w:p>
    <w:p w:rsidR="002509DC" w:rsidRDefault="002509DC">
      <w:pPr>
        <w:spacing w:line="240" w:lineRule="auto"/>
        <w:jc w:val="both"/>
      </w:pP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10.</w:t>
      </w:r>
      <w:r>
        <w:rPr>
          <w:b/>
          <w:color w:val="000000"/>
        </w:rPr>
        <w:tab/>
        <w:t>Ochranné lhůty</w:t>
      </w:r>
    </w:p>
    <w:p w:rsidR="002509DC" w:rsidRDefault="002509DC">
      <w:pPr>
        <w:spacing w:line="240" w:lineRule="auto"/>
        <w:jc w:val="both"/>
      </w:pPr>
    </w:p>
    <w:p w:rsidR="00042BCE" w:rsidRDefault="00042BCE" w:rsidP="00042BCE">
      <w:pPr>
        <w:tabs>
          <w:tab w:val="num" w:pos="284"/>
        </w:tabs>
        <w:spacing w:line="240" w:lineRule="auto"/>
        <w:jc w:val="both"/>
      </w:pPr>
      <w:r>
        <w:t>M</w:t>
      </w:r>
      <w:r w:rsidRPr="007F05EE">
        <w:t xml:space="preserve">aso: </w:t>
      </w:r>
      <w:r>
        <w:t>1 den.</w:t>
      </w:r>
    </w:p>
    <w:p w:rsidR="00042BCE" w:rsidRPr="007F05EE" w:rsidRDefault="00042BCE" w:rsidP="00042BCE">
      <w:pPr>
        <w:tabs>
          <w:tab w:val="num" w:pos="284"/>
        </w:tabs>
        <w:spacing w:line="240" w:lineRule="auto"/>
        <w:jc w:val="both"/>
      </w:pPr>
      <w:r>
        <w:t>M</w:t>
      </w:r>
      <w:r w:rsidRPr="007F05EE">
        <w:t xml:space="preserve">léko: </w:t>
      </w:r>
      <w:r>
        <w:t>B</w:t>
      </w:r>
      <w:r w:rsidRPr="007F05EE">
        <w:t>ez ochranných lhůt.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11.</w:t>
      </w:r>
      <w:r>
        <w:rPr>
          <w:b/>
          <w:color w:val="000000"/>
        </w:rPr>
        <w:tab/>
        <w:t>Zvláštní opatření pro uchovávání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tabs>
          <w:tab w:val="left" w:pos="720"/>
        </w:tabs>
        <w:spacing w:line="240" w:lineRule="auto"/>
        <w:jc w:val="both"/>
      </w:pPr>
      <w:r>
        <w:t>Uchovávejte mimo dohled a dosah dětí.</w:t>
      </w:r>
    </w:p>
    <w:p w:rsidR="002509DC" w:rsidRDefault="00F372B4">
      <w:pPr>
        <w:ind w:right="-318"/>
        <w:jc w:val="both"/>
      </w:pPr>
      <w:r>
        <w:t>Uchovávejte injekční lahvičku v krabičce.</w:t>
      </w:r>
    </w:p>
    <w:p w:rsidR="002509DC" w:rsidRDefault="00F372B4">
      <w:pPr>
        <w:ind w:right="-318"/>
        <w:jc w:val="both"/>
      </w:pPr>
      <w:r>
        <w:t>Chraňte před světlem.</w:t>
      </w:r>
    </w:p>
    <w:p w:rsidR="002509DC" w:rsidRDefault="00F372B4">
      <w:pPr>
        <w:tabs>
          <w:tab w:val="left" w:pos="720"/>
        </w:tabs>
        <w:spacing w:line="240" w:lineRule="auto"/>
        <w:jc w:val="both"/>
      </w:pPr>
      <w:r>
        <w:t>Nepoužívejte tento veterinární léčivý přípravek po uplynutí doby použitelnosti uvedené na etiketě po Exp. Doba použitelnosti končí posledním dnem v uvedeném měsíci.</w:t>
      </w:r>
    </w:p>
    <w:p w:rsidR="002509DC" w:rsidRDefault="00F372B4">
      <w:pPr>
        <w:ind w:right="-318"/>
        <w:jc w:val="both"/>
      </w:pPr>
      <w:r>
        <w:t>Doba použitelnosti po prvním otevření vnitřního obalu: 28 dnů.</w:t>
      </w:r>
    </w:p>
    <w:p w:rsidR="002509DC" w:rsidRDefault="002509DC">
      <w:pPr>
        <w:ind w:right="-318"/>
        <w:jc w:val="both"/>
      </w:pPr>
    </w:p>
    <w:p w:rsidR="002509DC" w:rsidRDefault="00F372B4" w:rsidP="00C5275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12.</w:t>
      </w:r>
      <w:r>
        <w:rPr>
          <w:b/>
          <w:color w:val="000000"/>
        </w:rPr>
        <w:tab/>
        <w:t>Zvláštní opatření pro likvidaci</w:t>
      </w:r>
    </w:p>
    <w:p w:rsidR="002509DC" w:rsidRDefault="002509DC" w:rsidP="00C5275A">
      <w:pPr>
        <w:keepNext/>
        <w:spacing w:line="240" w:lineRule="auto"/>
        <w:jc w:val="both"/>
      </w:pPr>
    </w:p>
    <w:p w:rsidR="002509DC" w:rsidRDefault="00F372B4">
      <w:pPr>
        <w:spacing w:line="240" w:lineRule="auto"/>
        <w:jc w:val="both"/>
      </w:pPr>
      <w:r>
        <w:t>Léčivé přípravky se nesmí likvidovat prostřednictvím odpadní vody či domovního odpadu.</w:t>
      </w:r>
    </w:p>
    <w:p w:rsidR="00042BCE" w:rsidRDefault="00042BCE">
      <w:pPr>
        <w:spacing w:line="240" w:lineRule="auto"/>
        <w:jc w:val="both"/>
      </w:pPr>
    </w:p>
    <w:p w:rsidR="00042BCE" w:rsidRDefault="00042BCE" w:rsidP="00891745">
      <w:pPr>
        <w:tabs>
          <w:tab w:val="clear" w:pos="567"/>
        </w:tabs>
        <w:spacing w:line="240" w:lineRule="auto"/>
        <w:jc w:val="both"/>
      </w:pPr>
      <w:r>
        <w:t>Tento v</w:t>
      </w:r>
      <w:r w:rsidRPr="00B00DF6">
        <w:t xml:space="preserve">eterinární léčivý přípravek </w:t>
      </w:r>
      <w:r>
        <w:t xml:space="preserve">nesmí kontaminovat </w:t>
      </w:r>
      <w:r w:rsidRPr="00B00DF6">
        <w:t>vodní tok</w:t>
      </w:r>
      <w:r>
        <w:t>y</w:t>
      </w:r>
      <w:r w:rsidRPr="00B00DF6">
        <w:t xml:space="preserve">, protože kloprostenol může být nebezpečný pro ryby a </w:t>
      </w:r>
      <w:r>
        <w:t xml:space="preserve">další </w:t>
      </w:r>
      <w:r w:rsidRPr="00B00DF6">
        <w:t>vodní organismy.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spacing w:line="240" w:lineRule="auto"/>
        <w:jc w:val="both"/>
      </w:pPr>
      <w:r>
        <w:t xml:space="preserve">Všechen nepoužitý veterinární léčivý přípravek nebo odpad, který pochází z tohoto přípravku, likvidujte odevzdáním v souladu s místními požadavky a platnými národními systémy sběru. Tato opatření napomáhají chránit životní prostředí. 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tabs>
          <w:tab w:val="left" w:pos="720"/>
        </w:tabs>
        <w:spacing w:line="240" w:lineRule="auto"/>
        <w:jc w:val="both"/>
      </w:pPr>
      <w:r>
        <w:t>O možnostech likvidace nepotřebných léčivých přípravků se poraďte s vaším veterinárním lékařem nebo lékárníkem.</w:t>
      </w:r>
    </w:p>
    <w:p w:rsidR="002509DC" w:rsidRDefault="002509DC">
      <w:pPr>
        <w:spacing w:line="240" w:lineRule="auto"/>
        <w:jc w:val="both"/>
        <w:rPr>
          <w:highlight w:val="lightGray"/>
        </w:rPr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13.</w:t>
      </w:r>
      <w:r>
        <w:rPr>
          <w:b/>
          <w:color w:val="000000"/>
        </w:rPr>
        <w:tab/>
        <w:t>Klasifikace veterinárních léčivých přípravků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spacing w:line="240" w:lineRule="auto"/>
        <w:jc w:val="both"/>
      </w:pPr>
      <w:r>
        <w:t>Veterinární léčivý přípravek je vydáván pouze na předpis.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14.</w:t>
      </w:r>
      <w:r>
        <w:rPr>
          <w:b/>
          <w:color w:val="000000"/>
        </w:rPr>
        <w:tab/>
        <w:t>Registrační čísla a velikosti balení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spacing w:line="240" w:lineRule="auto"/>
        <w:jc w:val="both"/>
      </w:pPr>
      <w:r>
        <w:t>96/041/</w:t>
      </w:r>
      <w:proofErr w:type="gramStart"/>
      <w:r>
        <w:t>06-C</w:t>
      </w:r>
      <w:proofErr w:type="gramEnd"/>
    </w:p>
    <w:p w:rsidR="00891745" w:rsidRDefault="00891745">
      <w:pPr>
        <w:spacing w:line="240" w:lineRule="auto"/>
        <w:jc w:val="both"/>
      </w:pPr>
    </w:p>
    <w:p w:rsidR="002509DC" w:rsidRDefault="00F372B4">
      <w:pPr>
        <w:spacing w:line="240" w:lineRule="auto"/>
        <w:jc w:val="both"/>
        <w:rPr>
          <w:b/>
        </w:rPr>
      </w:pPr>
      <w:r>
        <w:t>Krabička obsahuj</w:t>
      </w:r>
      <w:r w:rsidR="00891745">
        <w:t>e</w:t>
      </w:r>
      <w:r>
        <w:t xml:space="preserve"> 1 x </w:t>
      </w:r>
      <w:r>
        <w:rPr>
          <w:color w:val="000000"/>
        </w:rPr>
        <w:t>20 ml nebo 1 x 50 ml injekční lahvič</w:t>
      </w:r>
      <w:r w:rsidR="005F2B14">
        <w:rPr>
          <w:color w:val="000000"/>
        </w:rPr>
        <w:t>ku</w:t>
      </w:r>
      <w:r>
        <w:rPr>
          <w:color w:val="000000"/>
        </w:rPr>
        <w:t>.</w:t>
      </w:r>
    </w:p>
    <w:p w:rsidR="002509DC" w:rsidRDefault="00F372B4">
      <w:pPr>
        <w:jc w:val="both"/>
      </w:pPr>
      <w:r>
        <w:t>Na trhu nemusí být všechny velikosti balení.</w:t>
      </w:r>
    </w:p>
    <w:p w:rsidR="002509DC" w:rsidRDefault="002509DC">
      <w:pPr>
        <w:spacing w:line="240" w:lineRule="auto"/>
        <w:jc w:val="both"/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highlight w:val="lightGray"/>
        </w:rPr>
        <w:t>15.</w:t>
      </w:r>
      <w:r>
        <w:rPr>
          <w:b/>
          <w:color w:val="000000"/>
        </w:rPr>
        <w:tab/>
        <w:t>Datum poslední revize příbalové informace</w:t>
      </w:r>
    </w:p>
    <w:p w:rsidR="002509DC" w:rsidRDefault="002509DC">
      <w:pPr>
        <w:spacing w:line="240" w:lineRule="auto"/>
        <w:jc w:val="both"/>
      </w:pPr>
    </w:p>
    <w:p w:rsidR="004661FC" w:rsidRDefault="004661FC">
      <w:pPr>
        <w:spacing w:line="240" w:lineRule="auto"/>
        <w:jc w:val="both"/>
      </w:pPr>
      <w:r>
        <w:t>0</w:t>
      </w:r>
      <w:r w:rsidR="00891745">
        <w:t>8</w:t>
      </w:r>
      <w:r w:rsidR="00B83DE6">
        <w:t>/202</w:t>
      </w:r>
      <w:r>
        <w:t>5</w:t>
      </w:r>
    </w:p>
    <w:p w:rsidR="002509DC" w:rsidRDefault="002509DC">
      <w:pPr>
        <w:spacing w:line="240" w:lineRule="auto"/>
        <w:jc w:val="both"/>
      </w:pPr>
    </w:p>
    <w:p w:rsidR="002509DC" w:rsidRDefault="00F372B4">
      <w:r>
        <w:t>Podrobné informace o tomto veterinárním léčivém přípravku jsou k dispozici v databázi přípravků Unie (</w:t>
      </w:r>
      <w:hyperlink r:id="rId10">
        <w:r>
          <w:rPr>
            <w:color w:val="0000FF"/>
            <w:u w:val="single"/>
          </w:rPr>
          <w:t>https://medicines.health.europa.eu/veterinary</w:t>
        </w:r>
      </w:hyperlink>
      <w:r>
        <w:t>).</w:t>
      </w:r>
    </w:p>
    <w:p w:rsidR="002509DC" w:rsidRDefault="00F372B4">
      <w:r>
        <w:lastRenderedPageBreak/>
        <w:t>Podrobné informace o tomto veterinárním léčivém přípravku naleznete také v národní databázi (</w:t>
      </w:r>
      <w:hyperlink r:id="rId11">
        <w:r>
          <w:rPr>
            <w:color w:val="0000FF"/>
            <w:u w:val="single"/>
          </w:rPr>
          <w:t>https://www.uskvbl.cz</w:t>
        </w:r>
      </w:hyperlink>
      <w:r>
        <w:t xml:space="preserve">). </w:t>
      </w:r>
    </w:p>
    <w:p w:rsidR="002509DC" w:rsidRDefault="002509D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  <w:highlight w:val="lightGray"/>
        </w:rPr>
      </w:pPr>
    </w:p>
    <w:p w:rsidR="002509DC" w:rsidRDefault="00F372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67" w:hanging="567"/>
        <w:rPr>
          <w:b/>
          <w:color w:val="000000"/>
        </w:rPr>
      </w:pPr>
      <w:r>
        <w:rPr>
          <w:b/>
          <w:color w:val="000000"/>
          <w:highlight w:val="lightGray"/>
        </w:rPr>
        <w:t>16.</w:t>
      </w:r>
      <w:r>
        <w:rPr>
          <w:b/>
          <w:color w:val="000000"/>
        </w:rPr>
        <w:tab/>
        <w:t>Kontaktní údaje</w:t>
      </w:r>
    </w:p>
    <w:p w:rsidR="002509DC" w:rsidRDefault="002509DC">
      <w:pPr>
        <w:spacing w:line="240" w:lineRule="auto"/>
      </w:pPr>
    </w:p>
    <w:p w:rsidR="002509DC" w:rsidRDefault="00F372B4">
      <w:pPr>
        <w:tabs>
          <w:tab w:val="left" w:pos="0"/>
        </w:tabs>
        <w:rPr>
          <w:u w:val="single"/>
        </w:rPr>
      </w:pPr>
      <w:r>
        <w:rPr>
          <w:u w:val="single"/>
        </w:rPr>
        <w:t>Držitel rozhodnutí o registraci a výrobce odpovědný za uvolnění šarže:</w:t>
      </w:r>
    </w:p>
    <w:p w:rsidR="002509DC" w:rsidRDefault="002509DC">
      <w:pPr>
        <w:tabs>
          <w:tab w:val="left" w:pos="0"/>
        </w:tabs>
      </w:pPr>
    </w:p>
    <w:p w:rsidR="002509DC" w:rsidRDefault="00F372B4">
      <w:pPr>
        <w:tabs>
          <w:tab w:val="left" w:pos="0"/>
        </w:tabs>
      </w:pPr>
      <w:r>
        <w:t>VIRBAC</w:t>
      </w:r>
      <w:bookmarkStart w:id="2" w:name="_GoBack"/>
      <w:bookmarkEnd w:id="2"/>
    </w:p>
    <w:p w:rsidR="002509DC" w:rsidRDefault="00F372B4">
      <w:pPr>
        <w:tabs>
          <w:tab w:val="left" w:pos="0"/>
        </w:tabs>
      </w:pPr>
      <w:r>
        <w:t>1ère avenue – 2065 m – LID</w:t>
      </w:r>
    </w:p>
    <w:p w:rsidR="002509DC" w:rsidRDefault="00F372B4">
      <w:pPr>
        <w:tabs>
          <w:tab w:val="left" w:pos="0"/>
        </w:tabs>
      </w:pPr>
      <w:r>
        <w:t>06516 Carros</w:t>
      </w:r>
    </w:p>
    <w:p w:rsidR="002509DC" w:rsidRDefault="00F372B4">
      <w:pPr>
        <w:tabs>
          <w:tab w:val="left" w:pos="0"/>
        </w:tabs>
      </w:pPr>
      <w:r>
        <w:t>FRANCIE</w:t>
      </w:r>
    </w:p>
    <w:p w:rsidR="002509DC" w:rsidRDefault="002509DC">
      <w:pPr>
        <w:tabs>
          <w:tab w:val="left" w:pos="0"/>
        </w:tabs>
      </w:pPr>
    </w:p>
    <w:p w:rsidR="002509DC" w:rsidRDefault="00F372B4">
      <w:pPr>
        <w:tabs>
          <w:tab w:val="left" w:pos="0"/>
        </w:tabs>
        <w:rPr>
          <w:u w:val="single"/>
        </w:rPr>
      </w:pPr>
      <w:r>
        <w:rPr>
          <w:u w:val="single"/>
        </w:rPr>
        <w:t>Místní zástupci a kontaktní údaje pro hlášení podezření na nežádoucí účinky:</w:t>
      </w:r>
    </w:p>
    <w:p w:rsidR="00042C21" w:rsidRDefault="00DD21D2" w:rsidP="00553880">
      <w:sdt>
        <w:sdtPr>
          <w:tag w:val="goog_rdk_2"/>
          <w:id w:val="428709092"/>
        </w:sdtPr>
        <w:sdtEndPr/>
        <w:sdtContent>
          <w:sdt>
            <w:sdtPr>
              <w:tag w:val="goog_rdk_1"/>
              <w:id w:val="1807894238"/>
              <w:showingPlcHdr/>
            </w:sdtPr>
            <w:sdtEndPr/>
            <w:sdtContent>
              <w:r w:rsidR="00042C21">
                <w:t xml:space="preserve">     </w:t>
              </w:r>
            </w:sdtContent>
          </w:sdt>
        </w:sdtContent>
      </w:sdt>
      <w:sdt>
        <w:sdtPr>
          <w:tag w:val="goog_rdk_4"/>
          <w:id w:val="1907962611"/>
        </w:sdtPr>
        <w:sdtEndPr/>
        <w:sdtContent>
          <w:sdt>
            <w:sdtPr>
              <w:tag w:val="goog_rdk_3"/>
              <w:id w:val="1289554923"/>
              <w:showingPlcHdr/>
            </w:sdtPr>
            <w:sdtEndPr/>
            <w:sdtContent>
              <w:r w:rsidR="00042C21">
                <w:t xml:space="preserve">     </w:t>
              </w:r>
            </w:sdtContent>
          </w:sdt>
        </w:sdtContent>
      </w:sdt>
      <w:sdt>
        <w:sdtPr>
          <w:tag w:val="goog_rdk_6"/>
          <w:id w:val="-262763262"/>
        </w:sdtPr>
        <w:sdtEndPr/>
        <w:sdtContent>
          <w:sdt>
            <w:sdtPr>
              <w:tag w:val="goog_rdk_5"/>
              <w:id w:val="-558782220"/>
              <w:showingPlcHdr/>
            </w:sdtPr>
            <w:sdtEndPr/>
            <w:sdtContent>
              <w:r w:rsidR="00042C21">
                <w:t xml:space="preserve">     </w:t>
              </w:r>
            </w:sdtContent>
          </w:sdt>
        </w:sdtContent>
      </w:sdt>
      <w:sdt>
        <w:sdtPr>
          <w:tag w:val="goog_rdk_8"/>
          <w:id w:val="260420034"/>
        </w:sdtPr>
        <w:sdtEndPr/>
        <w:sdtContent>
          <w:sdt>
            <w:sdtPr>
              <w:tag w:val="goog_rdk_7"/>
              <w:id w:val="-743643828"/>
              <w:showingPlcHdr/>
            </w:sdtPr>
            <w:sdtEndPr/>
            <w:sdtContent>
              <w:r w:rsidR="00042C21">
                <w:t xml:space="preserve">     </w:t>
              </w:r>
            </w:sdtContent>
          </w:sdt>
        </w:sdtContent>
      </w:sdt>
    </w:p>
    <w:sdt>
      <w:sdtPr>
        <w:tag w:val="goog_rdk_10"/>
        <w:id w:val="623350764"/>
      </w:sdtPr>
      <w:sdtEndPr/>
      <w:sdtContent>
        <w:sdt>
          <w:sdtPr>
            <w:tag w:val="goog_rdk_9"/>
            <w:id w:val="-1055855116"/>
          </w:sdtPr>
          <w:sdtEndPr/>
          <w:sdtContent>
            <w:p w:rsidR="00553880" w:rsidRDefault="00DD21D2" w:rsidP="00553880">
              <w:sdt>
                <w:sdtPr>
                  <w:tag w:val="goog_rdk_13"/>
                  <w:id w:val="789238922"/>
                </w:sdtPr>
                <w:sdtEndPr/>
                <w:sdtContent>
                  <w:r w:rsidR="00553880">
                    <w:t>VIRBAC Czech Republic s.r.o.</w:t>
                  </w:r>
                </w:sdtContent>
              </w:sdt>
            </w:p>
            <w:sdt>
              <w:sdtPr>
                <w:tag w:val="goog_rdk_16"/>
                <w:id w:val="237449276"/>
              </w:sdtPr>
              <w:sdtEndPr/>
              <w:sdtContent>
                <w:p w:rsidR="00553880" w:rsidRDefault="00DD21D2" w:rsidP="00553880">
                  <w:sdt>
                    <w:sdtPr>
                      <w:tag w:val="goog_rdk_15"/>
                      <w:id w:val="-1255050173"/>
                    </w:sdtPr>
                    <w:sdtEndPr/>
                    <w:sdtContent>
                      <w:r w:rsidR="00553880">
                        <w:rPr>
                          <w:color w:val="040C28"/>
                        </w:rPr>
                        <w:t>Ž</w:t>
                      </w:r>
                      <w:r w:rsidR="00553880">
                        <w:t>itavského 496</w:t>
                      </w:r>
                    </w:sdtContent>
                  </w:sdt>
                </w:p>
              </w:sdtContent>
            </w:sdt>
            <w:sdt>
              <w:sdtPr>
                <w:tag w:val="goog_rdk_18"/>
                <w:id w:val="-1925337365"/>
              </w:sdtPr>
              <w:sdtEndPr/>
              <w:sdtContent>
                <w:sdt>
                  <w:sdtPr>
                    <w:tag w:val="goog_rdk_17"/>
                    <w:id w:val="-1110662926"/>
                  </w:sdtPr>
                  <w:sdtEndPr/>
                  <w:sdtContent>
                    <w:p w:rsidR="00553880" w:rsidRDefault="00553880" w:rsidP="00553880">
                      <w:r>
                        <w:t>156 00 Praha 5</w:t>
                      </w:r>
                    </w:p>
                    <w:p w:rsidR="00553880" w:rsidRDefault="00553880" w:rsidP="00553880">
                      <w:r w:rsidRPr="00553880">
                        <w:t>Česká republika</w:t>
                      </w:r>
                    </w:p>
                  </w:sdtContent>
                </w:sdt>
              </w:sdtContent>
            </w:sdt>
            <w:sdt>
              <w:sdtPr>
                <w:tag w:val="goog_rdk_20"/>
                <w:id w:val="-1005969334"/>
              </w:sdtPr>
              <w:sdtEndPr/>
              <w:sdtContent>
                <w:p w:rsidR="00553880" w:rsidRDefault="00DD21D2" w:rsidP="00553880">
                  <w:sdt>
                    <w:sdtPr>
                      <w:tag w:val="goog_rdk_19"/>
                      <w:id w:val="11576071"/>
                    </w:sdtPr>
                    <w:sdtEndPr/>
                    <w:sdtContent>
                      <w:r w:rsidR="00553880">
                        <w:t>Tel.: +420 608 836 529</w:t>
                      </w:r>
                    </w:sdtContent>
                  </w:sdt>
                </w:p>
              </w:sdtContent>
            </w:sdt>
            <w:p w:rsidR="002509DC" w:rsidRDefault="00553880">
              <w:pPr>
                <w:rPr>
                  <w:color w:val="000000"/>
                </w:rPr>
              </w:pPr>
              <w:r>
                <w:rPr>
                  <w:color w:val="000000"/>
                </w:rPr>
                <w:t xml:space="preserve"> </w:t>
              </w:r>
            </w:p>
          </w:sdtContent>
        </w:sdt>
      </w:sdtContent>
    </w:sdt>
    <w:p w:rsidR="002509DC" w:rsidRDefault="002509DC" w:rsidP="00553880"/>
    <w:p w:rsidR="002509DC" w:rsidRDefault="002509DC">
      <w:pPr>
        <w:rPr>
          <w:color w:val="000000"/>
        </w:rPr>
      </w:pPr>
      <w:bookmarkStart w:id="3" w:name="_heading=h.gjdgxs" w:colFirst="0" w:colLast="0"/>
      <w:bookmarkEnd w:id="3"/>
    </w:p>
    <w:sectPr w:rsidR="002509DC">
      <w:headerReference w:type="default" r:id="rId12"/>
      <w:footerReference w:type="default" r:id="rId13"/>
      <w:footerReference w:type="first" r:id="rId14"/>
      <w:pgSz w:w="11907" w:h="16840"/>
      <w:pgMar w:top="1417" w:right="1417" w:bottom="1417" w:left="141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D2" w:rsidRDefault="00DD21D2">
      <w:pPr>
        <w:spacing w:line="240" w:lineRule="auto"/>
      </w:pPr>
      <w:r>
        <w:separator/>
      </w:r>
    </w:p>
  </w:endnote>
  <w:endnote w:type="continuationSeparator" w:id="0">
    <w:p w:rsidR="00DD21D2" w:rsidRDefault="00DD2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9DC" w:rsidRDefault="00F372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83DE6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9DC" w:rsidRDefault="00F372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spacing w:line="240" w:lineRule="auto"/>
      <w:jc w:val="center"/>
      <w:rPr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D2" w:rsidRDefault="00DD21D2">
      <w:pPr>
        <w:spacing w:line="240" w:lineRule="auto"/>
      </w:pPr>
      <w:r>
        <w:separator/>
      </w:r>
    </w:p>
  </w:footnote>
  <w:footnote w:type="continuationSeparator" w:id="0">
    <w:p w:rsidR="00DD21D2" w:rsidRDefault="00DD2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9DC" w:rsidRDefault="002509DC" w:rsidP="00F125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B73F0"/>
    <w:multiLevelType w:val="multilevel"/>
    <w:tmpl w:val="378EC304"/>
    <w:lvl w:ilvl="0">
      <w:start w:val="1"/>
      <w:numFmt w:val="decimal"/>
      <w:pStyle w:val="A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Head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Heade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Header2abc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Header3abc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374823"/>
    <w:multiLevelType w:val="hybridMultilevel"/>
    <w:tmpl w:val="015EF2E2"/>
    <w:lvl w:ilvl="0" w:tplc="4D4CE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83903"/>
    <w:multiLevelType w:val="multilevel"/>
    <w:tmpl w:val="E17AA8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DC"/>
    <w:rsid w:val="00042BCE"/>
    <w:rsid w:val="00042C21"/>
    <w:rsid w:val="000D373D"/>
    <w:rsid w:val="00232024"/>
    <w:rsid w:val="002509DC"/>
    <w:rsid w:val="002D11BE"/>
    <w:rsid w:val="002D21B9"/>
    <w:rsid w:val="002D40CA"/>
    <w:rsid w:val="00313607"/>
    <w:rsid w:val="003A34D6"/>
    <w:rsid w:val="003B5BDF"/>
    <w:rsid w:val="003F3B75"/>
    <w:rsid w:val="004661FC"/>
    <w:rsid w:val="00511BE6"/>
    <w:rsid w:val="00527D6B"/>
    <w:rsid w:val="00553880"/>
    <w:rsid w:val="005A59CE"/>
    <w:rsid w:val="005F2B14"/>
    <w:rsid w:val="005F7185"/>
    <w:rsid w:val="00730729"/>
    <w:rsid w:val="00891745"/>
    <w:rsid w:val="00893325"/>
    <w:rsid w:val="00A117B0"/>
    <w:rsid w:val="00A93075"/>
    <w:rsid w:val="00B54332"/>
    <w:rsid w:val="00B83DE6"/>
    <w:rsid w:val="00C5275A"/>
    <w:rsid w:val="00CB48F0"/>
    <w:rsid w:val="00CF2C17"/>
    <w:rsid w:val="00D43168"/>
    <w:rsid w:val="00DA27E2"/>
    <w:rsid w:val="00DD21D2"/>
    <w:rsid w:val="00E307FE"/>
    <w:rsid w:val="00E359B2"/>
    <w:rsid w:val="00EC3DD4"/>
    <w:rsid w:val="00F1251E"/>
    <w:rsid w:val="00F372B4"/>
    <w:rsid w:val="00F64177"/>
    <w:rsid w:val="00F64C18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A0C0"/>
  <w15:docId w15:val="{2FD0AE3E-0364-485D-B164-E5B34E9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fr-FR" w:bidi="ar-SA"/>
      </w:rPr>
    </w:rPrDefault>
    <w:pPrDefault>
      <w:pPr>
        <w:tabs>
          <w:tab w:val="left" w:pos="567"/>
        </w:tabs>
        <w:spacing w:line="2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60" w:lineRule="exact"/>
    </w:pPr>
    <w:rPr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</w:tabs>
      <w:ind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num" w:pos="1440"/>
      </w:tabs>
      <w:ind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num" w:pos="1440"/>
      </w:tabs>
      <w:ind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</w:tabs>
      <w:ind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</w:rPr>
  </w:style>
  <w:style w:type="paragraph" w:customStyle="1" w:styleId="Style3">
    <w:name w:val="Style3"/>
    <w:basedOn w:val="Normln"/>
    <w:qFormat/>
    <w:pPr>
      <w:tabs>
        <w:tab w:val="clear" w:pos="567"/>
        <w:tab w:val="num" w:pos="720"/>
      </w:tabs>
      <w:spacing w:line="240" w:lineRule="auto"/>
      <w:ind w:left="720" w:hanging="720"/>
      <w:jc w:val="center"/>
    </w:pPr>
    <w:rPr>
      <w:b/>
    </w:rPr>
  </w:style>
  <w:style w:type="paragraph" w:customStyle="1" w:styleId="Style4">
    <w:name w:val="Style4"/>
    <w:basedOn w:val="Normln"/>
    <w:qFormat/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Standardnpsmoodstavce"/>
    <w:rsid w:val="00EB27F0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pc2">
    <w:name w:val="spc2"/>
    <w:basedOn w:val="Normln"/>
    <w:rsid w:val="00042BCE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S3CuUFSKrQdT9Yr6MAWckOmgg==">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1429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Neugebauerová Kateřina</cp:lastModifiedBy>
  <cp:revision>24</cp:revision>
  <cp:lastPrinted>2023-08-31T12:28:00Z</cp:lastPrinted>
  <dcterms:created xsi:type="dcterms:W3CDTF">2023-08-17T07:17:00Z</dcterms:created>
  <dcterms:modified xsi:type="dcterms:W3CDTF">2025-08-19T06:17:00Z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2022-11-23T09:33:36Z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0c8550a7-cf10-40a5-8ee3-995b049f3c1b</vt:lpwstr>
  </property>
  <property fmtid="{D5CDD505-2E9C-101B-9397-08002B2CF9AE}" pid="80" name="MSIP_Label_0ce2e18c-5cc3-4bbe-910f-0e8243a09a3a_ContentBits">
    <vt:lpwstr>0</vt:lpwstr>
  </property>
</Properties>
</file>