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7BD80" w14:textId="77777777" w:rsidR="00EE6B91" w:rsidRPr="00F30D3F" w:rsidRDefault="00EE6B91" w:rsidP="00EE6B91">
      <w:pPr>
        <w:jc w:val="center"/>
      </w:pPr>
      <w:bookmarkStart w:id="0" w:name="_Hlk203032327"/>
      <w:bookmarkEnd w:id="0"/>
    </w:p>
    <w:p w14:paraId="4E0DC917" w14:textId="77777777" w:rsidR="00EE6B91" w:rsidRPr="00F30D3F" w:rsidRDefault="00EE6B91" w:rsidP="00EE6B91">
      <w:pPr>
        <w:ind w:right="113"/>
        <w:jc w:val="center"/>
      </w:pPr>
    </w:p>
    <w:p w14:paraId="01E85F49" w14:textId="77777777" w:rsidR="00EE6B91" w:rsidRPr="00F30D3F" w:rsidRDefault="00EE6B91" w:rsidP="00EE6B91">
      <w:pPr>
        <w:ind w:right="113"/>
        <w:jc w:val="center"/>
      </w:pPr>
    </w:p>
    <w:p w14:paraId="4A9C2486" w14:textId="77777777" w:rsidR="00EE6B91" w:rsidRPr="00F30D3F" w:rsidRDefault="00EE6B91" w:rsidP="00EE6B91">
      <w:pPr>
        <w:ind w:right="113"/>
        <w:jc w:val="center"/>
      </w:pPr>
    </w:p>
    <w:p w14:paraId="6331FA94" w14:textId="77777777" w:rsidR="00EE6B91" w:rsidRPr="00F30D3F" w:rsidRDefault="00EE6B91" w:rsidP="00EE6B91">
      <w:pPr>
        <w:ind w:right="113"/>
        <w:jc w:val="center"/>
      </w:pPr>
    </w:p>
    <w:p w14:paraId="0F66DEB4" w14:textId="77777777" w:rsidR="00EE6B91" w:rsidRPr="00F30D3F" w:rsidRDefault="00EE6B91" w:rsidP="00EE6B91">
      <w:pPr>
        <w:ind w:right="113"/>
        <w:jc w:val="center"/>
      </w:pPr>
    </w:p>
    <w:p w14:paraId="787A582F" w14:textId="77777777" w:rsidR="00EE6B91" w:rsidRPr="00F30D3F" w:rsidRDefault="00EE6B91" w:rsidP="00EE6B91">
      <w:pPr>
        <w:ind w:right="113"/>
        <w:jc w:val="center"/>
      </w:pPr>
    </w:p>
    <w:p w14:paraId="0895F724" w14:textId="77777777" w:rsidR="00EE6B91" w:rsidRPr="00F30D3F" w:rsidRDefault="00EE6B91" w:rsidP="00EE6B91">
      <w:pPr>
        <w:ind w:right="113"/>
        <w:jc w:val="center"/>
      </w:pPr>
    </w:p>
    <w:p w14:paraId="7C36E17D" w14:textId="77777777" w:rsidR="00EE6B91" w:rsidRPr="00F30D3F" w:rsidRDefault="00EE6B91" w:rsidP="00EE6B91">
      <w:pPr>
        <w:ind w:right="113"/>
        <w:jc w:val="center"/>
      </w:pPr>
    </w:p>
    <w:p w14:paraId="60756834" w14:textId="77777777" w:rsidR="00EE6B91" w:rsidRPr="00F30D3F" w:rsidRDefault="00EE6B91" w:rsidP="00EE6B91">
      <w:pPr>
        <w:ind w:right="113"/>
        <w:jc w:val="center"/>
      </w:pPr>
    </w:p>
    <w:p w14:paraId="132B6D08" w14:textId="77777777" w:rsidR="00EE6B91" w:rsidRPr="00F30D3F" w:rsidRDefault="00EE6B91" w:rsidP="00EE6B91">
      <w:pPr>
        <w:ind w:right="113"/>
        <w:jc w:val="center"/>
      </w:pPr>
    </w:p>
    <w:p w14:paraId="04029318" w14:textId="77777777" w:rsidR="00EE6B91" w:rsidRPr="00F30D3F" w:rsidRDefault="00EE6B91" w:rsidP="00EE6B91">
      <w:pPr>
        <w:ind w:right="113"/>
        <w:jc w:val="center"/>
      </w:pPr>
    </w:p>
    <w:p w14:paraId="71D1A242" w14:textId="77777777" w:rsidR="00EE6B91" w:rsidRPr="00F30D3F" w:rsidRDefault="00EE6B91" w:rsidP="00EE6B91">
      <w:pPr>
        <w:ind w:right="113"/>
        <w:jc w:val="center"/>
      </w:pPr>
    </w:p>
    <w:p w14:paraId="124AB411" w14:textId="77777777" w:rsidR="00EE6B91" w:rsidRPr="00F30D3F" w:rsidRDefault="00EE6B91" w:rsidP="00EE6B91">
      <w:pPr>
        <w:ind w:right="113"/>
        <w:jc w:val="center"/>
      </w:pPr>
    </w:p>
    <w:p w14:paraId="56EAADD7" w14:textId="77777777" w:rsidR="00EE6B91" w:rsidRPr="00F30D3F" w:rsidRDefault="00EE6B91" w:rsidP="00EE6B91">
      <w:pPr>
        <w:ind w:right="113"/>
        <w:jc w:val="center"/>
      </w:pPr>
    </w:p>
    <w:p w14:paraId="041BFDC1" w14:textId="77777777" w:rsidR="00EE6B91" w:rsidRPr="00F30D3F" w:rsidRDefault="00EE6B91" w:rsidP="00EE6B91">
      <w:pPr>
        <w:ind w:right="113"/>
        <w:jc w:val="center"/>
      </w:pPr>
    </w:p>
    <w:p w14:paraId="40E29720" w14:textId="77777777" w:rsidR="00EE6B91" w:rsidRPr="00F30D3F" w:rsidRDefault="00EE6B91" w:rsidP="00EE6B91">
      <w:pPr>
        <w:ind w:right="113"/>
        <w:jc w:val="center"/>
      </w:pPr>
    </w:p>
    <w:p w14:paraId="4FCC8170" w14:textId="77777777" w:rsidR="00EE6B91" w:rsidRPr="00F30D3F" w:rsidRDefault="00EE6B91" w:rsidP="00EE6B91">
      <w:pPr>
        <w:ind w:right="113"/>
        <w:jc w:val="center"/>
      </w:pPr>
    </w:p>
    <w:p w14:paraId="738E8538" w14:textId="77777777" w:rsidR="00EE6B91" w:rsidRPr="00F30D3F" w:rsidRDefault="00EE6B91" w:rsidP="00EE6B91">
      <w:pPr>
        <w:ind w:right="113"/>
        <w:jc w:val="center"/>
      </w:pPr>
    </w:p>
    <w:p w14:paraId="3D99A5E3" w14:textId="77777777" w:rsidR="00EE6B91" w:rsidRPr="00F30D3F" w:rsidRDefault="00EE6B91" w:rsidP="00EE6B91">
      <w:pPr>
        <w:jc w:val="center"/>
      </w:pPr>
    </w:p>
    <w:p w14:paraId="4A7DC8B6" w14:textId="77777777" w:rsidR="00EE6B91" w:rsidRPr="00F30D3F" w:rsidRDefault="00EE6B91" w:rsidP="00EE6B91">
      <w:pPr>
        <w:jc w:val="center"/>
      </w:pPr>
    </w:p>
    <w:p w14:paraId="5689C063" w14:textId="77777777" w:rsidR="00EE6B91" w:rsidRPr="00F30D3F" w:rsidRDefault="00EE6B91" w:rsidP="00EE6B91">
      <w:pPr>
        <w:jc w:val="center"/>
      </w:pPr>
    </w:p>
    <w:p w14:paraId="7DA680BC" w14:textId="77777777" w:rsidR="00EE6B91" w:rsidRPr="00F30D3F" w:rsidRDefault="00EE6B91" w:rsidP="00EE6B91">
      <w:pPr>
        <w:jc w:val="center"/>
      </w:pPr>
    </w:p>
    <w:p w14:paraId="77A5A647" w14:textId="77777777" w:rsidR="00EE6B91" w:rsidRPr="00F30D3F" w:rsidRDefault="00EE6B91" w:rsidP="00EE6B91">
      <w:pPr>
        <w:ind w:right="113"/>
        <w:jc w:val="center"/>
      </w:pPr>
      <w:r w:rsidRPr="00F30D3F">
        <w:rPr>
          <w:b/>
        </w:rPr>
        <w:t>B. PŘÍBALOVÁ INFORMACE</w:t>
      </w:r>
    </w:p>
    <w:p w14:paraId="28E8E6E8" w14:textId="77777777" w:rsidR="00EE6B91" w:rsidRDefault="00EE6B91" w:rsidP="00EE6B91">
      <w:pPr>
        <w:jc w:val="center"/>
        <w:rPr>
          <w:b/>
        </w:rPr>
      </w:pPr>
      <w:r w:rsidRPr="00F30D3F">
        <w:br w:type="page"/>
      </w:r>
      <w:r w:rsidRPr="00F30D3F">
        <w:rPr>
          <w:b/>
        </w:rPr>
        <w:lastRenderedPageBreak/>
        <w:t>PŘÍBALOVÁ INFORMACE:</w:t>
      </w:r>
    </w:p>
    <w:p w14:paraId="09EF2887" w14:textId="77777777" w:rsidR="00CD6B64" w:rsidRPr="00F30D3F" w:rsidRDefault="00CD6B64" w:rsidP="00EE6B91">
      <w:pPr>
        <w:jc w:val="center"/>
      </w:pPr>
    </w:p>
    <w:p w14:paraId="61343479" w14:textId="77777777" w:rsidR="00B9334E" w:rsidRPr="00F467E9" w:rsidRDefault="00B9334E" w:rsidP="00EE6B91"/>
    <w:p w14:paraId="322CFCAC" w14:textId="77777777" w:rsidR="00A95997" w:rsidRPr="00B41D57" w:rsidRDefault="00A95997" w:rsidP="00A95997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3737A4F9" w14:textId="77777777" w:rsidR="00EE6B91" w:rsidRPr="00F30D3F" w:rsidRDefault="00EE6B91" w:rsidP="00EE6B91"/>
    <w:p w14:paraId="6CC0AA83" w14:textId="77777777" w:rsidR="00CD6B64" w:rsidRPr="004D0618" w:rsidRDefault="00CD6B64" w:rsidP="00CD6B64">
      <w:r w:rsidRPr="004D0618">
        <w:t xml:space="preserve">Ketamidor 100 mg/ml injekční roztok </w:t>
      </w:r>
    </w:p>
    <w:p w14:paraId="365A5D6D" w14:textId="77777777" w:rsidR="00CD6B64" w:rsidRDefault="00CD6B64" w:rsidP="00CD6B64"/>
    <w:p w14:paraId="7114BA0E" w14:textId="77777777" w:rsidR="00DC108F" w:rsidRPr="004D0618" w:rsidRDefault="00DC108F" w:rsidP="00CD6B64"/>
    <w:p w14:paraId="4FE6A45D" w14:textId="77777777" w:rsidR="00A95997" w:rsidRPr="00B41D57" w:rsidRDefault="00A95997" w:rsidP="00A95997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29AE3A0" w14:textId="77777777" w:rsidR="00EE6B91" w:rsidRDefault="00EE6B91" w:rsidP="00EE6B91"/>
    <w:p w14:paraId="3B1B6FC1" w14:textId="392619BC" w:rsidR="00CD6B64" w:rsidRPr="004D0618" w:rsidRDefault="001A0C83" w:rsidP="00CD6B64">
      <w:r>
        <w:t>Každý</w:t>
      </w:r>
      <w:r w:rsidR="00CD6B64" w:rsidRPr="004D0618">
        <w:t xml:space="preserve"> ml obsahuje:</w:t>
      </w:r>
    </w:p>
    <w:p w14:paraId="269B180E" w14:textId="77777777" w:rsidR="00CD6B64" w:rsidRPr="004D0618" w:rsidRDefault="00CD6B64" w:rsidP="00CD6B64">
      <w:pPr>
        <w:rPr>
          <w:b/>
        </w:rPr>
      </w:pPr>
    </w:p>
    <w:p w14:paraId="26F69BDE" w14:textId="35CEA44D" w:rsidR="00CD6B64" w:rsidRPr="004D0618" w:rsidRDefault="00CD6B64" w:rsidP="00CD6B64">
      <w:pPr>
        <w:rPr>
          <w:b/>
        </w:rPr>
      </w:pPr>
      <w:r w:rsidRPr="004D0618">
        <w:rPr>
          <w:b/>
        </w:rPr>
        <w:t>Léčiv</w:t>
      </w:r>
      <w:r w:rsidR="001A0C83">
        <w:rPr>
          <w:b/>
        </w:rPr>
        <w:t>é</w:t>
      </w:r>
      <w:r w:rsidRPr="004D0618">
        <w:rPr>
          <w:b/>
        </w:rPr>
        <w:t xml:space="preserve"> látk</w:t>
      </w:r>
      <w:r w:rsidR="001A0C83">
        <w:rPr>
          <w:b/>
        </w:rPr>
        <w:t>y</w:t>
      </w:r>
      <w:r w:rsidRPr="004D0618">
        <w:rPr>
          <w:b/>
        </w:rPr>
        <w:t>:</w:t>
      </w:r>
    </w:p>
    <w:p w14:paraId="5DC651C3" w14:textId="77777777" w:rsidR="00CD6B64" w:rsidRPr="004D0618" w:rsidRDefault="00CD6B64" w:rsidP="00CD6B64">
      <w:pPr>
        <w:tabs>
          <w:tab w:val="left" w:pos="3119"/>
          <w:tab w:val="right" w:pos="3850"/>
        </w:tabs>
        <w:rPr>
          <w:iCs/>
        </w:rPr>
      </w:pPr>
      <w:r w:rsidRPr="004D0618">
        <w:t>Ketaminum (</w:t>
      </w:r>
      <w:r w:rsidR="00D61E95">
        <w:t>jako</w:t>
      </w:r>
      <w:r w:rsidR="00D61E95" w:rsidRPr="004D0618">
        <w:t xml:space="preserve"> </w:t>
      </w:r>
      <w:r w:rsidRPr="004D0618">
        <w:t>hydrochloridum)</w:t>
      </w:r>
      <w:r w:rsidRPr="004D0618">
        <w:tab/>
        <w:t>100 mg</w:t>
      </w:r>
    </w:p>
    <w:p w14:paraId="1C3B95EF" w14:textId="77777777" w:rsidR="00CD6B64" w:rsidRPr="004D0618" w:rsidRDefault="00CD6B64" w:rsidP="00CD6B64"/>
    <w:p w14:paraId="34F3C179" w14:textId="77777777" w:rsidR="00CD6B64" w:rsidRPr="004D0618" w:rsidRDefault="00CD6B64" w:rsidP="00CD6B64">
      <w:r w:rsidRPr="00F75554">
        <w:rPr>
          <w:b/>
        </w:rPr>
        <w:t>Pomocné látky</w:t>
      </w:r>
      <w:r w:rsidRPr="004D0618">
        <w:rPr>
          <w:b/>
        </w:rPr>
        <w:t>:</w:t>
      </w:r>
    </w:p>
    <w:p w14:paraId="06521C06" w14:textId="77777777" w:rsidR="00CD6B64" w:rsidRPr="00FF0E63" w:rsidRDefault="00CD6B64" w:rsidP="00CD6B64">
      <w:pPr>
        <w:tabs>
          <w:tab w:val="left" w:pos="3164"/>
          <w:tab w:val="right" w:pos="3850"/>
        </w:tabs>
      </w:pPr>
      <w:r w:rsidRPr="00FF0E63">
        <w:t>Benzethoni</w:t>
      </w:r>
      <w:r>
        <w:t>um-</w:t>
      </w:r>
      <w:r w:rsidRPr="00FF0E63">
        <w:t>chlorid</w:t>
      </w:r>
      <w:r>
        <w:tab/>
      </w:r>
      <w:r w:rsidRPr="00FF0E63">
        <w:t>0,1 mg</w:t>
      </w:r>
    </w:p>
    <w:p w14:paraId="1709B639" w14:textId="77777777" w:rsidR="00CD6B64" w:rsidRPr="004D0618" w:rsidRDefault="00CD6B64" w:rsidP="00CD6B64"/>
    <w:p w14:paraId="6AA06A58" w14:textId="77777777" w:rsidR="00CD6B64" w:rsidRPr="00F467E9" w:rsidRDefault="00BF04F5" w:rsidP="00EE6B91">
      <w:r>
        <w:t>Čirý</w:t>
      </w:r>
      <w:r w:rsidR="00871283" w:rsidRPr="00C16FDD">
        <w:rPr>
          <w:spacing w:val="-1"/>
          <w:szCs w:val="22"/>
          <w:lang w:eastAsia="de-DE"/>
        </w:rPr>
        <w:t>, bezbarvý až téměř bezbarvý roztok.</w:t>
      </w:r>
    </w:p>
    <w:p w14:paraId="271C904E" w14:textId="3FAAAAF3" w:rsidR="00EE6B91" w:rsidRDefault="00EE6B91" w:rsidP="00EE6B91"/>
    <w:p w14:paraId="120B6434" w14:textId="77777777" w:rsidR="00DC108F" w:rsidRDefault="00DC108F" w:rsidP="00EE6B91"/>
    <w:p w14:paraId="1E769FBD" w14:textId="77777777" w:rsidR="00A95997" w:rsidRPr="00B41D57" w:rsidRDefault="00A95997" w:rsidP="00A95997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116D0572" w14:textId="77777777" w:rsidR="00A95997" w:rsidRDefault="00A95997" w:rsidP="00EE6B91"/>
    <w:p w14:paraId="0DD8CE1D" w14:textId="5381FA82" w:rsidR="00B938AE" w:rsidRDefault="00A95997" w:rsidP="00EE6B91">
      <w:r w:rsidRPr="004D0618">
        <w:t>Koně, skot, prasata, psi</w:t>
      </w:r>
      <w:r w:rsidR="001A0C83">
        <w:t>,</w:t>
      </w:r>
      <w:r w:rsidRPr="004D0618">
        <w:t xml:space="preserve"> kočky.</w:t>
      </w:r>
    </w:p>
    <w:p w14:paraId="364C3FC9" w14:textId="77777777" w:rsidR="00A95997" w:rsidRDefault="00A95997" w:rsidP="00EE6B91"/>
    <w:p w14:paraId="70AC4D9C" w14:textId="77777777" w:rsidR="00DC108F" w:rsidRPr="00F30D3F" w:rsidRDefault="00DC108F" w:rsidP="00EE6B91"/>
    <w:p w14:paraId="310BF10C" w14:textId="77777777" w:rsidR="00A95997" w:rsidRPr="00B41D57" w:rsidRDefault="00A95997" w:rsidP="00A95997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1C757AD0" w14:textId="77777777" w:rsidR="00EE6B91" w:rsidRDefault="00EE6B91" w:rsidP="00EE6B91"/>
    <w:p w14:paraId="61F535D5" w14:textId="77777777" w:rsidR="0040307F" w:rsidRPr="002917C2" w:rsidRDefault="0040307F" w:rsidP="0040307F">
      <w:r>
        <w:t xml:space="preserve">Lze použít u kočky </w:t>
      </w:r>
      <w:r w:rsidRPr="002917C2">
        <w:t>jako jediný prostředek</w:t>
      </w:r>
      <w:r>
        <w:t xml:space="preserve"> </w:t>
      </w:r>
      <w:r w:rsidRPr="002917C2">
        <w:t xml:space="preserve">pro </w:t>
      </w:r>
      <w:r>
        <w:t xml:space="preserve">imobilizaci </w:t>
      </w:r>
      <w:r w:rsidRPr="002917C2">
        <w:t>a drobné chirurgické zákroky</w:t>
      </w:r>
      <w:r>
        <w:t xml:space="preserve"> v případech, </w:t>
      </w:r>
      <w:r w:rsidRPr="002917C2">
        <w:t>kde není nutná svalová relaxace.</w:t>
      </w:r>
    </w:p>
    <w:p w14:paraId="171F1608" w14:textId="3C743394" w:rsidR="00CD6B64" w:rsidRPr="004D0618" w:rsidRDefault="00CD6B64" w:rsidP="00CD6B64">
      <w:pPr>
        <w:rPr>
          <w:rFonts w:cs="Arial"/>
          <w:szCs w:val="22"/>
        </w:rPr>
      </w:pPr>
      <w:r>
        <w:t xml:space="preserve">Navození </w:t>
      </w:r>
      <w:r w:rsidRPr="004D0618">
        <w:t>anest</w:t>
      </w:r>
      <w:r w:rsidR="00FB0B82">
        <w:t>e</w:t>
      </w:r>
      <w:r w:rsidRPr="004D0618">
        <w:t>zi</w:t>
      </w:r>
      <w:r>
        <w:t>e</w:t>
      </w:r>
      <w:r w:rsidRPr="004D0618">
        <w:t>:</w:t>
      </w:r>
    </w:p>
    <w:p w14:paraId="1E9CE8BB" w14:textId="77777777" w:rsidR="00CD6B64" w:rsidRPr="004D0618" w:rsidRDefault="00CD6B64" w:rsidP="00CD6B64">
      <w:pPr>
        <w:rPr>
          <w:rFonts w:cs="Arial"/>
          <w:szCs w:val="22"/>
        </w:rPr>
      </w:pPr>
      <w:r w:rsidRPr="004D0618">
        <w:t>a) v kombinaci s detomidinem u koní,</w:t>
      </w:r>
    </w:p>
    <w:p w14:paraId="04990DC7" w14:textId="77777777" w:rsidR="00CD6B64" w:rsidRPr="004D0618" w:rsidRDefault="00CD6B64" w:rsidP="00CD6B64">
      <w:pPr>
        <w:rPr>
          <w:rFonts w:cs="Arial"/>
          <w:szCs w:val="22"/>
        </w:rPr>
      </w:pPr>
      <w:r w:rsidRPr="004D0618">
        <w:t>b) v kombinaci s xylazinem u koní, skotu, psů a u koček,</w:t>
      </w:r>
    </w:p>
    <w:p w14:paraId="7EB23579" w14:textId="77777777" w:rsidR="00CD6B64" w:rsidRPr="004D0618" w:rsidRDefault="00CD6B64" w:rsidP="00CD6B64">
      <w:pPr>
        <w:rPr>
          <w:rFonts w:cs="Arial"/>
          <w:b/>
          <w:szCs w:val="24"/>
        </w:rPr>
      </w:pPr>
      <w:r w:rsidRPr="004D0618">
        <w:t>c) v kombinaci s azaperonem u prasat,</w:t>
      </w:r>
    </w:p>
    <w:p w14:paraId="15BA6D47" w14:textId="79A13A33" w:rsidR="00085994" w:rsidRDefault="00CD6B64" w:rsidP="00085994">
      <w:r w:rsidRPr="004D0618">
        <w:t>d) v kombinaci s medetomidinem u psů a koček</w:t>
      </w:r>
      <w:r w:rsidR="00FB0B82">
        <w:t>,</w:t>
      </w:r>
      <w:r w:rsidR="00085994" w:rsidRPr="00085994">
        <w:t xml:space="preserve"> </w:t>
      </w:r>
    </w:p>
    <w:p w14:paraId="7020440B" w14:textId="0CD48B13" w:rsidR="00CD6B64" w:rsidRPr="004D0618" w:rsidRDefault="00085994" w:rsidP="00366F00">
      <w:pPr>
        <w:rPr>
          <w:rFonts w:cs="Arial"/>
          <w:szCs w:val="22"/>
        </w:rPr>
      </w:pPr>
      <w:r>
        <w:t>e) v kombinaci s diazepamem u psů.</w:t>
      </w:r>
    </w:p>
    <w:p w14:paraId="20DF528F" w14:textId="77777777" w:rsidR="00EE6B91" w:rsidRDefault="00EE6B91" w:rsidP="00DC108F"/>
    <w:p w14:paraId="12C59052" w14:textId="77777777" w:rsidR="00DC108F" w:rsidRPr="00F467E9" w:rsidRDefault="00DC108F" w:rsidP="00DC108F"/>
    <w:p w14:paraId="3C60F3D5" w14:textId="77777777" w:rsidR="00A95997" w:rsidRPr="00B41D57" w:rsidRDefault="00A95997" w:rsidP="00A95997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65CBB4F0" w14:textId="77777777" w:rsidR="00EE6B91" w:rsidRDefault="00EE6B91" w:rsidP="00EE6B91"/>
    <w:p w14:paraId="52E94BCE" w14:textId="77777777" w:rsidR="00871283" w:rsidRDefault="00CD6B64" w:rsidP="00A06E47">
      <w:r w:rsidRPr="004D0618">
        <w:t>Nepoužívat</w:t>
      </w:r>
      <w:r w:rsidR="00871283">
        <w:t>:</w:t>
      </w:r>
    </w:p>
    <w:p w14:paraId="5B0DF7E6" w14:textId="77777777" w:rsidR="00871283" w:rsidRPr="00871283" w:rsidRDefault="00871283" w:rsidP="00871283">
      <w:r>
        <w:t>-</w:t>
      </w:r>
      <w:r w:rsidRPr="00871283">
        <w:tab/>
        <w:t xml:space="preserve">u zvířat se závažnou srdeční dekompenzací, podezřením na </w:t>
      </w:r>
      <w:r w:rsidR="0040307F">
        <w:t xml:space="preserve">plicní </w:t>
      </w:r>
      <w:r w:rsidRPr="00871283">
        <w:t>onemocnění, zjevný</w:t>
      </w:r>
      <w:r w:rsidR="007D27C4">
        <w:t>m</w:t>
      </w:r>
      <w:r w:rsidRPr="00871283">
        <w:t xml:space="preserve"> vysoký</w:t>
      </w:r>
      <w:r w:rsidR="007D27C4">
        <w:t>m</w:t>
      </w:r>
      <w:r w:rsidRPr="00871283">
        <w:t xml:space="preserve"> tlak</w:t>
      </w:r>
      <w:r w:rsidR="007D27C4">
        <w:t>em</w:t>
      </w:r>
      <w:r w:rsidRPr="00871283">
        <w:t xml:space="preserve"> nebo cerebrovaskulární</w:t>
      </w:r>
      <w:r w:rsidR="007D27C4">
        <w:t>m</w:t>
      </w:r>
      <w:r w:rsidRPr="00871283">
        <w:t xml:space="preserve"> postižení</w:t>
      </w:r>
      <w:r w:rsidR="007D27C4">
        <w:t>m</w:t>
      </w:r>
      <w:r w:rsidRPr="00871283">
        <w:t>.</w:t>
      </w:r>
    </w:p>
    <w:p w14:paraId="41EC1922" w14:textId="77777777" w:rsidR="00871283" w:rsidRPr="00871283" w:rsidRDefault="00871283" w:rsidP="00871283">
      <w:r>
        <w:t>-</w:t>
      </w:r>
      <w:r w:rsidRPr="00871283">
        <w:tab/>
        <w:t>u zvířat</w:t>
      </w:r>
      <w:r w:rsidR="007D27C4">
        <w:t xml:space="preserve"> s</w:t>
      </w:r>
      <w:r w:rsidRPr="00871283">
        <w:t xml:space="preserve"> již dříve exitující patologií jater a ledvin.</w:t>
      </w:r>
    </w:p>
    <w:p w14:paraId="198CFA61" w14:textId="77777777" w:rsidR="00871283" w:rsidRPr="00871283" w:rsidRDefault="00871283" w:rsidP="00871283">
      <w:r>
        <w:t>-</w:t>
      </w:r>
      <w:r w:rsidRPr="00871283">
        <w:tab/>
        <w:t>při eklampsii, preeklampsii, glaukomu a záchvatových poruchách (např. epilepsii).</w:t>
      </w:r>
    </w:p>
    <w:p w14:paraId="506E2A96" w14:textId="77777777" w:rsidR="00871283" w:rsidRPr="00871283" w:rsidRDefault="00871283" w:rsidP="00871283">
      <w:r>
        <w:t>-</w:t>
      </w:r>
      <w:r w:rsidRPr="00871283">
        <w:tab/>
        <w:t>u chirurgických výkonů na hltanu, hrtanu, trache</w:t>
      </w:r>
      <w:r w:rsidR="0040307F">
        <w:t>i</w:t>
      </w:r>
      <w:r w:rsidRPr="00871283">
        <w:t xml:space="preserve"> nebo bronchiálním kmeni, pokud není zajištěna dostatečná relaxace podáním svalového relaxancia (intubace je povinná).</w:t>
      </w:r>
    </w:p>
    <w:p w14:paraId="2D64A40B" w14:textId="3942AFB0" w:rsidR="00871283" w:rsidRDefault="00871283" w:rsidP="00871283">
      <w:r>
        <w:t>-</w:t>
      </w:r>
      <w:r w:rsidRPr="00871283">
        <w:tab/>
        <w:t>u zvířat podstupujících myelografick</w:t>
      </w:r>
      <w:r w:rsidR="00096EDF">
        <w:t>é</w:t>
      </w:r>
      <w:r w:rsidRPr="00871283">
        <w:t xml:space="preserve"> </w:t>
      </w:r>
      <w:r w:rsidR="0040307F">
        <w:t>vyšetření</w:t>
      </w:r>
      <w:r w:rsidR="00FB0B82">
        <w:t>.</w:t>
      </w:r>
    </w:p>
    <w:p w14:paraId="08F614E3" w14:textId="77777777" w:rsidR="00871283" w:rsidRDefault="00871283" w:rsidP="00871283"/>
    <w:p w14:paraId="638C089A" w14:textId="77777777" w:rsidR="00CD6B64" w:rsidRPr="004D0618" w:rsidRDefault="00871283" w:rsidP="00871283">
      <w:r w:rsidRPr="00B9334E">
        <w:t>Nepoužívat v případech přecitlivělosti na léčivou látku, nebo</w:t>
      </w:r>
      <w:r>
        <w:t xml:space="preserve"> na některou z pomocných látek.</w:t>
      </w:r>
    </w:p>
    <w:p w14:paraId="0E32E85F" w14:textId="3ADB20FD" w:rsidR="00CD6B64" w:rsidRPr="004D0618" w:rsidRDefault="00CD6B64" w:rsidP="00A06E47">
      <w:r w:rsidRPr="004D0618">
        <w:t>Nepoužív</w:t>
      </w:r>
      <w:r w:rsidR="00FB0B82">
        <w:t>a</w:t>
      </w:r>
      <w:r w:rsidRPr="004D0618">
        <w:t xml:space="preserve">t </w:t>
      </w:r>
      <w:r w:rsidR="00D6194B">
        <w:t xml:space="preserve">tento veterinární léčivý přípravek </w:t>
      </w:r>
      <w:r w:rsidRPr="004D0618">
        <w:t>jako jedin</w:t>
      </w:r>
      <w:r w:rsidR="00D6194B">
        <w:t>é</w:t>
      </w:r>
      <w:r w:rsidRPr="004D0618">
        <w:t xml:space="preserve"> anesteti</w:t>
      </w:r>
      <w:r w:rsidR="00D6194B">
        <w:t>kum</w:t>
      </w:r>
      <w:r w:rsidRPr="004D0618">
        <w:t xml:space="preserve"> u jakýchkoliv jiných druhů </w:t>
      </w:r>
      <w:r>
        <w:t xml:space="preserve">zvířat </w:t>
      </w:r>
      <w:r w:rsidRPr="004D0618">
        <w:t xml:space="preserve">kromě koček.   </w:t>
      </w:r>
    </w:p>
    <w:p w14:paraId="5209319E" w14:textId="6E77040C" w:rsidR="00B9334E" w:rsidRDefault="00B9334E" w:rsidP="00871283"/>
    <w:p w14:paraId="5249FE2D" w14:textId="77777777" w:rsidR="00DC108F" w:rsidRDefault="00DC108F" w:rsidP="00871283"/>
    <w:p w14:paraId="4AB8F276" w14:textId="77777777" w:rsidR="00A95997" w:rsidRPr="00B41D57" w:rsidRDefault="00A95997" w:rsidP="0027723E">
      <w:pPr>
        <w:pStyle w:val="Style1"/>
        <w:keepNext/>
      </w:pPr>
      <w:r w:rsidRPr="00B41D57">
        <w:rPr>
          <w:highlight w:val="lightGray"/>
        </w:rPr>
        <w:lastRenderedPageBreak/>
        <w:t>6.</w:t>
      </w:r>
      <w:r w:rsidRPr="00B41D57">
        <w:tab/>
        <w:t>Zvláštní upozornění</w:t>
      </w:r>
    </w:p>
    <w:p w14:paraId="66E3401C" w14:textId="343A8716" w:rsidR="00A95997" w:rsidRDefault="00A95997" w:rsidP="0027723E">
      <w:pPr>
        <w:keepNext/>
      </w:pPr>
    </w:p>
    <w:p w14:paraId="2D447A5E" w14:textId="1D9FCC05" w:rsidR="0021701D" w:rsidRPr="0021701D" w:rsidRDefault="0021701D" w:rsidP="0027723E">
      <w:pPr>
        <w:keepNext/>
        <w:rPr>
          <w:u w:val="single"/>
        </w:rPr>
      </w:pPr>
      <w:r w:rsidRPr="0021701D">
        <w:rPr>
          <w:u w:val="single"/>
        </w:rPr>
        <w:t>Zvláštní upozornění:</w:t>
      </w:r>
    </w:p>
    <w:p w14:paraId="09845827" w14:textId="638BBF29" w:rsidR="00A95997" w:rsidRPr="004D0618" w:rsidRDefault="00A95997" w:rsidP="00A95997">
      <w:r w:rsidRPr="004D0618">
        <w:t>U velmi bolestivých a rozsáhlých chirurgických zákroků</w:t>
      </w:r>
      <w:r w:rsidR="00FB0B82">
        <w:t>,</w:t>
      </w:r>
      <w:r w:rsidRPr="004D0618">
        <w:t xml:space="preserve"> stejně jako pro udržování anest</w:t>
      </w:r>
      <w:r w:rsidR="00FB0B82">
        <w:t>e</w:t>
      </w:r>
      <w:r w:rsidRPr="004D0618">
        <w:t>zie</w:t>
      </w:r>
      <w:r w:rsidR="00FB0B82">
        <w:t>,</w:t>
      </w:r>
      <w:r w:rsidRPr="004D0618">
        <w:t xml:space="preserve"> je nezbytná kombinace s inj</w:t>
      </w:r>
      <w:r>
        <w:t>ekčními</w:t>
      </w:r>
      <w:r w:rsidRPr="004D0618">
        <w:t xml:space="preserve"> nebo inhalačními anestetiky. </w:t>
      </w:r>
      <w:r>
        <w:t>Protože s</w:t>
      </w:r>
      <w:r w:rsidRPr="004D0618">
        <w:t>valové relaxace požadované pro chirurgické výkony nelze dosáhnout samotným ketaminem, je zapotřebí současně používat další svalová relaxancia. Pro zlepšení anest</w:t>
      </w:r>
      <w:r w:rsidR="00FB0B82">
        <w:t>e</w:t>
      </w:r>
      <w:r w:rsidRPr="004D0618">
        <w:t>zie nebo prodloužení účinku lze ketamin kombinovat s agonisty α</w:t>
      </w:r>
      <w:r w:rsidRPr="004D0618">
        <w:rPr>
          <w:vertAlign w:val="subscript"/>
        </w:rPr>
        <w:t>2</w:t>
      </w:r>
      <w:r w:rsidRPr="004D0618">
        <w:t>-receptorů, anestetiky, neuroleptanalgetiky, sedativy a inhalačními anestetickými přípravky.</w:t>
      </w:r>
    </w:p>
    <w:p w14:paraId="35368658" w14:textId="77777777" w:rsidR="00A95997" w:rsidRPr="000F072C" w:rsidRDefault="00A95997" w:rsidP="00A95997">
      <w:pPr>
        <w:widowControl w:val="0"/>
        <w:tabs>
          <w:tab w:val="right" w:pos="9311"/>
        </w:tabs>
        <w:kinsoku w:val="0"/>
        <w:overflowPunct w:val="0"/>
        <w:autoSpaceDE w:val="0"/>
        <w:autoSpaceDN w:val="0"/>
        <w:adjustRightInd w:val="0"/>
        <w:rPr>
          <w:spacing w:val="-1"/>
          <w:szCs w:val="22"/>
          <w:lang w:eastAsia="de-DE"/>
        </w:rPr>
      </w:pPr>
      <w:r w:rsidRPr="00C16FDD">
        <w:rPr>
          <w:szCs w:val="22"/>
          <w:lang w:eastAsia="de-DE"/>
        </w:rPr>
        <w:t>U malého podílu zvířat bylo hlášeno, že nereagují na ketamin jakožto anestetiku</w:t>
      </w:r>
      <w:r>
        <w:rPr>
          <w:szCs w:val="22"/>
          <w:lang w:eastAsia="de-DE"/>
        </w:rPr>
        <w:t>m</w:t>
      </w:r>
      <w:r w:rsidRPr="00C16FDD">
        <w:rPr>
          <w:szCs w:val="22"/>
          <w:lang w:eastAsia="de-DE"/>
        </w:rPr>
        <w:t xml:space="preserve"> při normálních dávkách.</w:t>
      </w:r>
    </w:p>
    <w:p w14:paraId="07CC9DF6" w14:textId="03316DBA" w:rsidR="00A95997" w:rsidRDefault="00A95997" w:rsidP="00A95997">
      <w:r w:rsidRPr="004D0618">
        <w:t xml:space="preserve">Je třeba vzít v úvahu, že čas do nástupu plného účinku se </w:t>
      </w:r>
      <w:r w:rsidR="00FB0B82">
        <w:t xml:space="preserve">u koček </w:t>
      </w:r>
      <w:r w:rsidRPr="004D0618">
        <w:t>může prodloužit při subkutánní</w:t>
      </w:r>
      <w:r>
        <w:t>m</w:t>
      </w:r>
      <w:r w:rsidRPr="004D0618">
        <w:t xml:space="preserve"> podání.</w:t>
      </w:r>
    </w:p>
    <w:p w14:paraId="155074EF" w14:textId="77777777" w:rsidR="0021701D" w:rsidRDefault="0021701D" w:rsidP="0021701D">
      <w:pPr>
        <w:rPr>
          <w:szCs w:val="22"/>
          <w:u w:val="single"/>
        </w:rPr>
      </w:pPr>
    </w:p>
    <w:p w14:paraId="18AFE43F" w14:textId="2ED3FAFC" w:rsidR="0021701D" w:rsidRPr="00F30D3F" w:rsidRDefault="0021701D" w:rsidP="0021701D">
      <w:pPr>
        <w:rPr>
          <w:szCs w:val="22"/>
        </w:rPr>
      </w:pPr>
      <w:r w:rsidRPr="00F30D3F">
        <w:rPr>
          <w:szCs w:val="22"/>
          <w:u w:val="single"/>
        </w:rPr>
        <w:t xml:space="preserve">Zvláštní opatření pro </w:t>
      </w:r>
      <w:r w:rsidRPr="00B41D57">
        <w:rPr>
          <w:szCs w:val="22"/>
          <w:u w:val="single"/>
        </w:rPr>
        <w:t>bezpečné použití u cílových druhů zvířat</w:t>
      </w:r>
      <w:r w:rsidRPr="00B41D57">
        <w:t>:</w:t>
      </w:r>
    </w:p>
    <w:p w14:paraId="3D645A94" w14:textId="1A4B2647" w:rsidR="00D6194B" w:rsidRPr="000F072C" w:rsidRDefault="00D6194B" w:rsidP="00D6194B">
      <w:pPr>
        <w:tabs>
          <w:tab w:val="left" w:pos="0"/>
        </w:tabs>
        <w:rPr>
          <w:color w:val="000000"/>
          <w:szCs w:val="22"/>
          <w:lang w:eastAsia="de-AT"/>
        </w:rPr>
      </w:pPr>
      <w:r>
        <w:rPr>
          <w:color w:val="000000"/>
          <w:szCs w:val="22"/>
          <w:lang w:eastAsia="de-AT"/>
        </w:rPr>
        <w:t>U psů a koček nepoužívat</w:t>
      </w:r>
      <w:r w:rsidR="00FB0B82">
        <w:rPr>
          <w:color w:val="000000"/>
          <w:szCs w:val="22"/>
          <w:lang w:eastAsia="de-AT"/>
        </w:rPr>
        <w:t xml:space="preserve"> atipamezol</w:t>
      </w:r>
      <w:r>
        <w:rPr>
          <w:color w:val="000000"/>
          <w:szCs w:val="22"/>
          <w:lang w:eastAsia="de-AT"/>
        </w:rPr>
        <w:t xml:space="preserve"> pro reverzi kombinace </w:t>
      </w:r>
      <w:proofErr w:type="spellStart"/>
      <w:r>
        <w:rPr>
          <w:color w:val="000000"/>
          <w:szCs w:val="22"/>
          <w:lang w:eastAsia="de-AT"/>
        </w:rPr>
        <w:t>ketaminu</w:t>
      </w:r>
      <w:proofErr w:type="spellEnd"/>
      <w:r>
        <w:rPr>
          <w:color w:val="000000"/>
          <w:szCs w:val="22"/>
          <w:lang w:eastAsia="de-AT"/>
        </w:rPr>
        <w:t xml:space="preserve"> a </w:t>
      </w:r>
      <w:proofErr w:type="spellStart"/>
      <w:r>
        <w:rPr>
          <w:color w:val="000000"/>
          <w:szCs w:val="22"/>
          <w:lang w:eastAsia="de-AT"/>
        </w:rPr>
        <w:t>medetomidinu</w:t>
      </w:r>
      <w:proofErr w:type="spellEnd"/>
      <w:r>
        <w:rPr>
          <w:color w:val="000000"/>
          <w:szCs w:val="22"/>
          <w:lang w:eastAsia="de-AT"/>
        </w:rPr>
        <w:t xml:space="preserve"> dříve než za 45 minut po podání ketaminu, kdy působení ketaminu ustalo.</w:t>
      </w:r>
    </w:p>
    <w:p w14:paraId="4DF3B70E" w14:textId="77777777" w:rsidR="00D6194B" w:rsidRDefault="00D6194B" w:rsidP="00D6194B"/>
    <w:p w14:paraId="19C28561" w14:textId="77777777" w:rsidR="00D6194B" w:rsidRPr="00DC108F" w:rsidRDefault="00D6194B" w:rsidP="00D6194B">
      <w:pPr>
        <w:tabs>
          <w:tab w:val="left" w:pos="0"/>
        </w:tabs>
        <w:rPr>
          <w:b/>
        </w:rPr>
      </w:pPr>
      <w:r w:rsidRPr="00DC108F">
        <w:rPr>
          <w:b/>
        </w:rPr>
        <w:t>Příprava před chirurgickým výkonem:</w:t>
      </w:r>
    </w:p>
    <w:p w14:paraId="5683A64A" w14:textId="500843FE" w:rsidR="00D6194B" w:rsidRPr="004D0618" w:rsidRDefault="00D6194B" w:rsidP="00D6194B">
      <w:pPr>
        <w:tabs>
          <w:tab w:val="left" w:pos="0"/>
        </w:tabs>
      </w:pPr>
      <w:r w:rsidRPr="004D0618">
        <w:t xml:space="preserve">Stejně jako u všech anestetik by zvířata </w:t>
      </w:r>
      <w:r>
        <w:t>neměla jíst</w:t>
      </w:r>
      <w:r w:rsidRPr="004D0618">
        <w:t xml:space="preserve"> nejméně 12 hodin před anest</w:t>
      </w:r>
      <w:r w:rsidR="00FB0B82">
        <w:t>e</w:t>
      </w:r>
      <w:r w:rsidRPr="004D0618">
        <w:t xml:space="preserve">zií </w:t>
      </w:r>
      <w:proofErr w:type="spellStart"/>
      <w:r w:rsidRPr="004D0618">
        <w:t>ketaminem</w:t>
      </w:r>
      <w:proofErr w:type="spellEnd"/>
      <w:r w:rsidRPr="004D0618">
        <w:t xml:space="preserve">. </w:t>
      </w:r>
    </w:p>
    <w:p w14:paraId="138F4CBD" w14:textId="77777777" w:rsidR="00D6194B" w:rsidRPr="004D0618" w:rsidRDefault="00D6194B" w:rsidP="00D6194B">
      <w:pPr>
        <w:pStyle w:val="Textvysvtlivek"/>
        <w:tabs>
          <w:tab w:val="left" w:pos="0"/>
        </w:tabs>
        <w:rPr>
          <w:szCs w:val="22"/>
        </w:rPr>
      </w:pPr>
    </w:p>
    <w:p w14:paraId="7B7F98B1" w14:textId="68253BB7" w:rsidR="00D6194B" w:rsidRPr="00DC108F" w:rsidRDefault="00D6194B" w:rsidP="00D6194B">
      <w:pPr>
        <w:tabs>
          <w:tab w:val="left" w:pos="0"/>
        </w:tabs>
        <w:rPr>
          <w:b/>
        </w:rPr>
      </w:pPr>
      <w:r w:rsidRPr="00DC108F">
        <w:rPr>
          <w:b/>
        </w:rPr>
        <w:t>Doba anest</w:t>
      </w:r>
      <w:r w:rsidR="00FB0B82">
        <w:rPr>
          <w:b/>
        </w:rPr>
        <w:t>e</w:t>
      </w:r>
      <w:r w:rsidRPr="00DC108F">
        <w:rPr>
          <w:b/>
        </w:rPr>
        <w:t>zie:</w:t>
      </w:r>
    </w:p>
    <w:p w14:paraId="6911BAAE" w14:textId="3DFC4D84" w:rsidR="00D6194B" w:rsidRDefault="00D6194B" w:rsidP="00D6194B">
      <w:r w:rsidRPr="004D0618">
        <w:t>Při anest</w:t>
      </w:r>
      <w:r w:rsidR="00FB0B82">
        <w:t>e</w:t>
      </w:r>
      <w:r w:rsidRPr="004D0618">
        <w:t xml:space="preserve">zii </w:t>
      </w:r>
      <w:proofErr w:type="spellStart"/>
      <w:r w:rsidRPr="004D0618">
        <w:t>ketaminem</w:t>
      </w:r>
      <w:proofErr w:type="spellEnd"/>
      <w:r w:rsidRPr="004D0618">
        <w:t xml:space="preserve"> zůstávají oči léčených zvířat otevřené</w:t>
      </w:r>
      <w:r>
        <w:t>. A</w:t>
      </w:r>
      <w:r w:rsidRPr="004D0618">
        <w:t xml:space="preserve">by se zabránilo </w:t>
      </w:r>
      <w:r w:rsidR="00FB0B82">
        <w:t>jejich vysychání</w:t>
      </w:r>
      <w:r>
        <w:t>,</w:t>
      </w:r>
      <w:r w:rsidRPr="004D0618">
        <w:t xml:space="preserve"> je zapotřebí je při dlouhotrvajících výkonech odpovídajícím způsobem chránit</w:t>
      </w:r>
      <w:r>
        <w:t xml:space="preserve"> </w:t>
      </w:r>
      <w:r w:rsidRPr="004D0618">
        <w:t>(pomocí vhodných mastí)</w:t>
      </w:r>
      <w:r>
        <w:t>.</w:t>
      </w:r>
    </w:p>
    <w:p w14:paraId="68339321" w14:textId="77777777" w:rsidR="00D6194B" w:rsidRPr="004D0618" w:rsidRDefault="00D6194B" w:rsidP="00D6194B">
      <w:pPr>
        <w:rPr>
          <w:szCs w:val="22"/>
        </w:rPr>
      </w:pPr>
    </w:p>
    <w:p w14:paraId="1DA044BD" w14:textId="77777777" w:rsidR="00D6194B" w:rsidRPr="00DC108F" w:rsidRDefault="00D6194B" w:rsidP="00D6194B">
      <w:pPr>
        <w:tabs>
          <w:tab w:val="left" w:pos="0"/>
        </w:tabs>
        <w:rPr>
          <w:b/>
        </w:rPr>
      </w:pPr>
      <w:r w:rsidRPr="00DC108F">
        <w:rPr>
          <w:b/>
        </w:rPr>
        <w:t>Doba zotavení:</w:t>
      </w:r>
    </w:p>
    <w:p w14:paraId="2879C1C8" w14:textId="77777777" w:rsidR="00D6194B" w:rsidRPr="004D0618" w:rsidRDefault="00D6194B" w:rsidP="00D6194B">
      <w:pPr>
        <w:rPr>
          <w:u w:val="single"/>
        </w:rPr>
      </w:pPr>
      <w:r w:rsidRPr="004D0618">
        <w:t>Je důležité, aby jak premedikace, tak zotavení probíhalo v tichém a klidném prostředí.</w:t>
      </w:r>
    </w:p>
    <w:p w14:paraId="4E226600" w14:textId="620BD532" w:rsidR="0021701D" w:rsidRDefault="00D6194B" w:rsidP="00D6194B">
      <w:r w:rsidRPr="004D0618">
        <w:t>Zotavení je obvykle úplné po 2 hodinách, ale může občas trvat i déle. U psů je možné vzácně pozorovat stavy psychomotorické excitace s vytím.</w:t>
      </w:r>
    </w:p>
    <w:p w14:paraId="2847FDC6" w14:textId="6CDF6793" w:rsidR="00A95997" w:rsidRDefault="00A95997" w:rsidP="00A95997"/>
    <w:p w14:paraId="699D4132" w14:textId="71E53928" w:rsidR="00A95997" w:rsidRPr="00F30D3F" w:rsidRDefault="00A95997" w:rsidP="00A95997">
      <w:pPr>
        <w:keepNext/>
        <w:rPr>
          <w:u w:val="single"/>
        </w:rPr>
      </w:pPr>
      <w:r w:rsidRPr="00F30D3F">
        <w:rPr>
          <w:u w:val="single"/>
        </w:rPr>
        <w:t xml:space="preserve">Zvláštní opatření </w:t>
      </w:r>
      <w:r w:rsidR="00EF2486">
        <w:rPr>
          <w:u w:val="single"/>
        </w:rPr>
        <w:t xml:space="preserve">pro </w:t>
      </w:r>
      <w:r w:rsidRPr="00F30D3F">
        <w:rPr>
          <w:u w:val="single"/>
        </w:rPr>
        <w:t>osob</w:t>
      </w:r>
      <w:r w:rsidR="00EF2486">
        <w:rPr>
          <w:u w:val="single"/>
        </w:rPr>
        <w:t>u</w:t>
      </w:r>
      <w:r w:rsidRPr="00F30D3F">
        <w:rPr>
          <w:u w:val="single"/>
        </w:rPr>
        <w:t>, kter</w:t>
      </w:r>
      <w:r w:rsidR="00EF2486">
        <w:rPr>
          <w:u w:val="single"/>
        </w:rPr>
        <w:t>á</w:t>
      </w:r>
      <w:r w:rsidRPr="00F30D3F">
        <w:rPr>
          <w:u w:val="single"/>
        </w:rPr>
        <w:t xml:space="preserve"> podáv</w:t>
      </w:r>
      <w:r w:rsidR="00EF2486">
        <w:rPr>
          <w:u w:val="single"/>
        </w:rPr>
        <w:t>á</w:t>
      </w:r>
      <w:r w:rsidRPr="00F30D3F">
        <w:rPr>
          <w:u w:val="single"/>
        </w:rPr>
        <w:t xml:space="preserve"> veterinární léčivý přípravek zvířatům</w:t>
      </w:r>
      <w:r>
        <w:rPr>
          <w:u w:val="single"/>
        </w:rPr>
        <w:t>:</w:t>
      </w:r>
    </w:p>
    <w:p w14:paraId="50DAF9B9" w14:textId="77777777" w:rsidR="00A95997" w:rsidRPr="00A4520B" w:rsidRDefault="00A95997" w:rsidP="00A95997">
      <w:pPr>
        <w:rPr>
          <w:spacing w:val="2"/>
          <w:szCs w:val="22"/>
          <w:lang w:eastAsia="de-DE"/>
        </w:rPr>
      </w:pPr>
      <w:r w:rsidRPr="00A4520B">
        <w:rPr>
          <w:spacing w:val="2"/>
          <w:szCs w:val="22"/>
          <w:lang w:eastAsia="de-DE"/>
        </w:rPr>
        <w:t xml:space="preserve">Lidé se známou přecitlivělostí na ketamin nebo pomocnou látku by se měli vyhnout kontaktu </w:t>
      </w:r>
      <w:r w:rsidRPr="00A4520B">
        <w:rPr>
          <w:spacing w:val="2"/>
          <w:szCs w:val="22"/>
          <w:lang w:eastAsia="de-DE"/>
        </w:rPr>
        <w:br/>
        <w:t>s veterinárním léčivým přípravkem.</w:t>
      </w:r>
    </w:p>
    <w:p w14:paraId="7BAB10E2" w14:textId="77777777" w:rsidR="00A95997" w:rsidRPr="00A4520B" w:rsidRDefault="00A95997" w:rsidP="00A95997">
      <w:pPr>
        <w:rPr>
          <w:spacing w:val="2"/>
          <w:szCs w:val="22"/>
          <w:lang w:eastAsia="de-DE"/>
        </w:rPr>
      </w:pPr>
      <w:r w:rsidRPr="00A4520B">
        <w:rPr>
          <w:spacing w:val="2"/>
          <w:szCs w:val="22"/>
          <w:lang w:eastAsia="de-DE"/>
        </w:rPr>
        <w:t xml:space="preserve">Zabraňte kontaktu s kůží a očima. </w:t>
      </w:r>
      <w:r>
        <w:rPr>
          <w:spacing w:val="2"/>
          <w:szCs w:val="22"/>
          <w:lang w:eastAsia="de-DE"/>
        </w:rPr>
        <w:t>Potřísněnou</w:t>
      </w:r>
      <w:r w:rsidRPr="00A4520B">
        <w:rPr>
          <w:spacing w:val="2"/>
          <w:szCs w:val="22"/>
          <w:lang w:eastAsia="de-DE"/>
        </w:rPr>
        <w:t xml:space="preserve"> kůži a oči ihned omyjte velkým množstvím vody.</w:t>
      </w:r>
    </w:p>
    <w:p w14:paraId="6CB3B6C5" w14:textId="77777777" w:rsidR="00A95997" w:rsidRPr="00516BE8" w:rsidRDefault="00A95997" w:rsidP="00A95997">
      <w:pPr>
        <w:rPr>
          <w:spacing w:val="2"/>
          <w:szCs w:val="22"/>
          <w:lang w:eastAsia="de-DE"/>
        </w:rPr>
      </w:pPr>
      <w:r w:rsidRPr="00A4520B">
        <w:rPr>
          <w:spacing w:val="2"/>
          <w:szCs w:val="22"/>
          <w:lang w:eastAsia="de-DE"/>
        </w:rPr>
        <w:t>Nelze vyloučit nežádoucí účinky na plod.</w:t>
      </w:r>
      <w:r w:rsidRPr="00516BE8">
        <w:rPr>
          <w:spacing w:val="2"/>
          <w:szCs w:val="22"/>
          <w:lang w:eastAsia="de-DE"/>
        </w:rPr>
        <w:t xml:space="preserve"> </w:t>
      </w:r>
      <w:r w:rsidRPr="00A4520B">
        <w:t>Veterinární léčivý přípravek by neměly podávat těhotné ženy.</w:t>
      </w:r>
    </w:p>
    <w:p w14:paraId="45778965" w14:textId="519542B5" w:rsidR="00A95997" w:rsidRPr="00A4520B" w:rsidRDefault="00A95997" w:rsidP="00A95997">
      <w:pPr>
        <w:rPr>
          <w:bCs/>
        </w:rPr>
      </w:pPr>
      <w:r w:rsidRPr="00797210">
        <w:t xml:space="preserve">Tento </w:t>
      </w:r>
      <w:r w:rsidR="00D6194B">
        <w:t xml:space="preserve">veterinární léčivý </w:t>
      </w:r>
      <w:r w:rsidRPr="00797210">
        <w:t>přípravek se vyznačuje</w:t>
      </w:r>
      <w:r w:rsidRPr="00A4520B">
        <w:t xml:space="preserve"> velmi silnými účinky</w:t>
      </w:r>
      <w:r>
        <w:t xml:space="preserve"> – je třeba věnovat zvláštní pozornost tomu, aby se zabránilo náhodnému samopodání</w:t>
      </w:r>
      <w:r w:rsidRPr="00A4520B">
        <w:t>.</w:t>
      </w:r>
      <w:r w:rsidRPr="00A4520B">
        <w:rPr>
          <w:i/>
        </w:rPr>
        <w:t xml:space="preserve"> </w:t>
      </w:r>
    </w:p>
    <w:p w14:paraId="15DEBBD7" w14:textId="77777777" w:rsidR="00A95997" w:rsidRPr="00A4520B" w:rsidRDefault="00A95997" w:rsidP="00A95997">
      <w:pPr>
        <w:widowControl w:val="0"/>
        <w:kinsoku w:val="0"/>
        <w:overflowPunct w:val="0"/>
        <w:autoSpaceDE w:val="0"/>
        <w:autoSpaceDN w:val="0"/>
        <w:adjustRightInd w:val="0"/>
        <w:rPr>
          <w:spacing w:val="-3"/>
          <w:szCs w:val="22"/>
          <w:lang w:eastAsia="de-DE"/>
        </w:rPr>
      </w:pPr>
      <w:r w:rsidRPr="00A4520B">
        <w:rPr>
          <w:spacing w:val="-4"/>
          <w:szCs w:val="22"/>
          <w:lang w:eastAsia="de-DE"/>
        </w:rPr>
        <w:t xml:space="preserve">V případě náhodného </w:t>
      </w:r>
      <w:r>
        <w:rPr>
          <w:spacing w:val="-4"/>
          <w:szCs w:val="22"/>
          <w:lang w:eastAsia="de-DE"/>
        </w:rPr>
        <w:t>samopodání injekce</w:t>
      </w:r>
      <w:r w:rsidRPr="00A4520B">
        <w:rPr>
          <w:spacing w:val="-4"/>
          <w:szCs w:val="22"/>
          <w:lang w:eastAsia="de-DE"/>
        </w:rPr>
        <w:t>, nebo pokud se objeví příznaky po kontaktu přípravku s očima nebo dutinou ústní, vyhledejte ihned lékařskou pomoc a ukažte příbalovou informaci nebo etiketu praktickému lékaři, ale NEŘIĎTE MOTOROVÉ VOZIDLO</w:t>
      </w:r>
      <w:r w:rsidRPr="00A4520B">
        <w:rPr>
          <w:szCs w:val="22"/>
          <w:lang w:eastAsia="de-DE"/>
        </w:rPr>
        <w:t>.</w:t>
      </w:r>
    </w:p>
    <w:p w14:paraId="519559A7" w14:textId="46C92305" w:rsidR="00A95997" w:rsidRDefault="00A95997" w:rsidP="00A95997"/>
    <w:p w14:paraId="27210253" w14:textId="77777777" w:rsidR="00A95997" w:rsidRPr="00A4520B" w:rsidRDefault="00A95997" w:rsidP="00A95997">
      <w:pPr>
        <w:autoSpaceDE w:val="0"/>
        <w:autoSpaceDN w:val="0"/>
        <w:adjustRightInd w:val="0"/>
        <w:rPr>
          <w:u w:val="single"/>
        </w:rPr>
      </w:pPr>
      <w:r w:rsidRPr="00A4520B">
        <w:rPr>
          <w:u w:val="single"/>
        </w:rPr>
        <w:t>Pro lékaře:</w:t>
      </w:r>
    </w:p>
    <w:p w14:paraId="2D5162CA" w14:textId="7FFCBB27" w:rsidR="00A95997" w:rsidRPr="004D0618" w:rsidRDefault="00A95997" w:rsidP="00A95997">
      <w:r w:rsidRPr="00797210">
        <w:t>Nenechávejte pacienta bez dozoru. Udržujte dýchání a poskytněte symptomatickou a podpůrnou</w:t>
      </w:r>
      <w:r w:rsidR="00EF2486">
        <w:t xml:space="preserve"> léčbu.</w:t>
      </w:r>
    </w:p>
    <w:p w14:paraId="4FD49E7D" w14:textId="77777777" w:rsidR="00A95997" w:rsidRDefault="00A95997" w:rsidP="00A95997">
      <w:pPr>
        <w:rPr>
          <w:szCs w:val="22"/>
        </w:rPr>
      </w:pPr>
    </w:p>
    <w:p w14:paraId="2AD0FD20" w14:textId="77777777" w:rsidR="00A95997" w:rsidRPr="004D0618" w:rsidRDefault="00A95997" w:rsidP="00A95997">
      <w:pPr>
        <w:rPr>
          <w:iCs/>
          <w:u w:val="single"/>
        </w:rPr>
      </w:pPr>
      <w:r w:rsidRPr="00F726F0">
        <w:rPr>
          <w:u w:val="single"/>
        </w:rPr>
        <w:t>Březost a laktace</w:t>
      </w:r>
      <w:r w:rsidRPr="004D0618">
        <w:rPr>
          <w:u w:val="single"/>
        </w:rPr>
        <w:t xml:space="preserve">: </w:t>
      </w:r>
    </w:p>
    <w:p w14:paraId="4E091A93" w14:textId="77777777" w:rsidR="00D6194B" w:rsidRDefault="00D6194B" w:rsidP="00D6194B">
      <w:r w:rsidRPr="00B41D57">
        <w:t>Nebyla stanovena bezpečnost veterinárního léčivého přípravku pro použití během březosti</w:t>
      </w:r>
      <w:r>
        <w:t xml:space="preserve"> a </w:t>
      </w:r>
      <w:r w:rsidRPr="00B41D57">
        <w:t>laktace</w:t>
      </w:r>
      <w:r>
        <w:t>.</w:t>
      </w:r>
    </w:p>
    <w:p w14:paraId="2E8B74B1" w14:textId="07D6AC2F" w:rsidR="00A95997" w:rsidRPr="004D0618" w:rsidRDefault="00A95997" w:rsidP="00A95997">
      <w:r w:rsidRPr="004D0618">
        <w:t>Ketamin proniká placentární bariérou. Ketamin</w:t>
      </w:r>
      <w:r w:rsidR="00FB0B82">
        <w:t xml:space="preserve"> by se neměl</w:t>
      </w:r>
      <w:r w:rsidRPr="004D0618">
        <w:t xml:space="preserve"> použív</w:t>
      </w:r>
      <w:r w:rsidR="00FB0B82">
        <w:t>a</w:t>
      </w:r>
      <w:r w:rsidRPr="004D0618">
        <w:t xml:space="preserve">t v </w:t>
      </w:r>
      <w:r w:rsidR="00FB0B82">
        <w:t>předporodním</w:t>
      </w:r>
      <w:r w:rsidRPr="004D0618">
        <w:t xml:space="preserve"> období.</w:t>
      </w:r>
    </w:p>
    <w:p w14:paraId="37086964" w14:textId="2F76B828" w:rsidR="00A95997" w:rsidRPr="004D0618" w:rsidRDefault="00FB0B82" w:rsidP="00A95997">
      <w:r>
        <w:t>Použít pouze</w:t>
      </w:r>
      <w:r w:rsidR="00A95997" w:rsidRPr="004D0618">
        <w:t xml:space="preserve"> po zvážení terapeutického prospěchu a rizika příslušným veteriná</w:t>
      </w:r>
      <w:r w:rsidR="00335A45">
        <w:t>rním lékařem</w:t>
      </w:r>
      <w:r w:rsidR="00A95997" w:rsidRPr="004D0618">
        <w:t>.</w:t>
      </w:r>
    </w:p>
    <w:p w14:paraId="58BFF8EB" w14:textId="77777777" w:rsidR="00A95997" w:rsidRPr="004D0618" w:rsidRDefault="00A95997" w:rsidP="00A95997"/>
    <w:p w14:paraId="57BD362C" w14:textId="632D30BF" w:rsidR="00A95997" w:rsidRPr="004D0618" w:rsidRDefault="00A95997" w:rsidP="00A95997">
      <w:pPr>
        <w:rPr>
          <w:u w:val="single"/>
        </w:rPr>
      </w:pPr>
      <w:r w:rsidRPr="004D0618">
        <w:rPr>
          <w:u w:val="single"/>
        </w:rPr>
        <w:t>Interakce s </w:t>
      </w:r>
      <w:r>
        <w:rPr>
          <w:u w:val="single"/>
        </w:rPr>
        <w:t>jinými</w:t>
      </w:r>
      <w:r w:rsidRPr="004D0618">
        <w:rPr>
          <w:u w:val="single"/>
        </w:rPr>
        <w:t xml:space="preserve"> léčivými přípravky a další formy interakce:</w:t>
      </w:r>
    </w:p>
    <w:p w14:paraId="10D417EB" w14:textId="77777777" w:rsidR="00A95997" w:rsidRPr="0092032D" w:rsidRDefault="00A95997" w:rsidP="00A95997">
      <w:pPr>
        <w:widowControl w:val="0"/>
        <w:tabs>
          <w:tab w:val="right" w:pos="9311"/>
        </w:tabs>
        <w:kinsoku w:val="0"/>
        <w:overflowPunct w:val="0"/>
        <w:autoSpaceDE w:val="0"/>
        <w:autoSpaceDN w:val="0"/>
        <w:adjustRightInd w:val="0"/>
        <w:rPr>
          <w:szCs w:val="22"/>
          <w:lang w:eastAsia="de-DE"/>
        </w:rPr>
      </w:pPr>
      <w:r w:rsidRPr="0092032D">
        <w:rPr>
          <w:szCs w:val="22"/>
          <w:lang w:eastAsia="de-DE"/>
        </w:rPr>
        <w:t>Neuroleptanalgetika, trankvilizéry, analogy morfinu, cimetidin a chloramfenikol potencují anestezii ketaminem.</w:t>
      </w:r>
    </w:p>
    <w:p w14:paraId="33A6555C" w14:textId="6CCA786F" w:rsidR="00A95997" w:rsidRPr="004D0618" w:rsidRDefault="00A95997" w:rsidP="00A95997">
      <w:r w:rsidRPr="004D0618">
        <w:t>Barbituráty a opiáty</w:t>
      </w:r>
      <w:r>
        <w:t xml:space="preserve"> nebo diazepam</w:t>
      </w:r>
      <w:r w:rsidRPr="004D0618">
        <w:t xml:space="preserve"> mohou prodloužit dobu zotavení. Účinky mohou být aditivní, </w:t>
      </w:r>
      <w:r w:rsidR="00AB4E6A">
        <w:t xml:space="preserve">proto může být </w:t>
      </w:r>
      <w:r w:rsidRPr="004D0618">
        <w:t xml:space="preserve">nutné snížení dávky jednoho nebo obou </w:t>
      </w:r>
      <w:r w:rsidR="00AB4E6A">
        <w:t xml:space="preserve">veterinárních léčivých </w:t>
      </w:r>
      <w:r w:rsidRPr="004D0618">
        <w:t xml:space="preserve">přípravků. </w:t>
      </w:r>
      <w:r>
        <w:t>P</w:t>
      </w:r>
      <w:r w:rsidRPr="004D0618">
        <w:t>ři použití v kombinaci s thiopentalem nebo halotanem</w:t>
      </w:r>
      <w:r>
        <w:t xml:space="preserve"> se zvyšuje </w:t>
      </w:r>
      <w:r w:rsidRPr="004D0618">
        <w:t xml:space="preserve">riziko </w:t>
      </w:r>
      <w:r>
        <w:t xml:space="preserve">výskytu </w:t>
      </w:r>
      <w:r w:rsidRPr="004D0618">
        <w:t>arytmií. Halotan prodlužuje poločas</w:t>
      </w:r>
      <w:r>
        <w:t xml:space="preserve"> eliminace</w:t>
      </w:r>
      <w:r w:rsidRPr="004D0618">
        <w:t xml:space="preserve"> ketaminu. </w:t>
      </w:r>
    </w:p>
    <w:p w14:paraId="0F256CBD" w14:textId="2E7B32BC" w:rsidR="00A95997" w:rsidRPr="004D0618" w:rsidRDefault="00A95997" w:rsidP="00A95997">
      <w:r w:rsidRPr="004D0618">
        <w:t>Současné podání intravenózních spasmolytik může vyvolat kolaps.</w:t>
      </w:r>
    </w:p>
    <w:p w14:paraId="29C9389F" w14:textId="77777777" w:rsidR="00A95997" w:rsidRPr="004D0618" w:rsidRDefault="00A95997" w:rsidP="00A95997">
      <w:r w:rsidRPr="004D0618">
        <w:t>Theofylin s ketaminem může způsobit zvýšenou incidenci křečí.</w:t>
      </w:r>
    </w:p>
    <w:p w14:paraId="278DFAD0" w14:textId="77777777" w:rsidR="00A95997" w:rsidRPr="004D0618" w:rsidRDefault="00A95997" w:rsidP="00A95997">
      <w:r w:rsidRPr="004D0618">
        <w:lastRenderedPageBreak/>
        <w:t>Použití detomidinu v kombinaci s ketaminem způsobuje pomalé zotavení.</w:t>
      </w:r>
    </w:p>
    <w:p w14:paraId="0CDBC93E" w14:textId="77777777" w:rsidR="00A95997" w:rsidRPr="004D0618" w:rsidRDefault="00A95997" w:rsidP="00A95997">
      <w:pPr>
        <w:tabs>
          <w:tab w:val="left" w:pos="0"/>
        </w:tabs>
        <w:ind w:firstLine="14"/>
      </w:pPr>
    </w:p>
    <w:p w14:paraId="66C41488" w14:textId="6EEC23B7" w:rsidR="00A95997" w:rsidRPr="004D0618" w:rsidRDefault="00A95997" w:rsidP="00A95997">
      <w:pPr>
        <w:rPr>
          <w:u w:val="single"/>
        </w:rPr>
      </w:pPr>
      <w:r w:rsidRPr="004D0618">
        <w:rPr>
          <w:u w:val="single"/>
        </w:rPr>
        <w:t>Předávkování:</w:t>
      </w:r>
    </w:p>
    <w:p w14:paraId="0B548A6A" w14:textId="77777777" w:rsidR="00A95997" w:rsidRPr="000F072C" w:rsidRDefault="00A95997" w:rsidP="00A95997">
      <w:r>
        <w:t>Při</w:t>
      </w:r>
      <w:r w:rsidRPr="0092032D">
        <w:t xml:space="preserve"> předávkování může dojít k srdeční arytmii a respirační depresi až paralýze.</w:t>
      </w:r>
    </w:p>
    <w:p w14:paraId="454EB24A" w14:textId="47562C3D" w:rsidR="00A95997" w:rsidRPr="004D0618" w:rsidRDefault="00A95997" w:rsidP="00A95997">
      <w:r w:rsidRPr="004D0618">
        <w:t>V případě potřeby použijte vhodné pomůcky pro zajištění umělé ventilace a srdečního výdeje, dokud nedojde k</w:t>
      </w:r>
      <w:r>
        <w:t xml:space="preserve"> dostatečné </w:t>
      </w:r>
      <w:r w:rsidRPr="004D0618">
        <w:t>detoxikaci</w:t>
      </w:r>
      <w:r>
        <w:t>.</w:t>
      </w:r>
      <w:r w:rsidRPr="004D0618">
        <w:t xml:space="preserve"> Farmakologické srdeční stimulátory se nedoporučují, </w:t>
      </w:r>
      <w:r w:rsidR="00AB4E6A">
        <w:t>pokud</w:t>
      </w:r>
      <w:r w:rsidRPr="004D0618">
        <w:t xml:space="preserve"> </w:t>
      </w:r>
      <w:r>
        <w:t>nejsou</w:t>
      </w:r>
      <w:r w:rsidRPr="004D0618">
        <w:t xml:space="preserve"> k dispozici </w:t>
      </w:r>
      <w:r>
        <w:t>jiná</w:t>
      </w:r>
      <w:r w:rsidRPr="004D0618">
        <w:t xml:space="preserve"> podpůrná opatření.   </w:t>
      </w:r>
    </w:p>
    <w:p w14:paraId="771A9A0B" w14:textId="7D9E910F" w:rsidR="00A95997" w:rsidRDefault="00A95997" w:rsidP="00A95997">
      <w:pPr>
        <w:tabs>
          <w:tab w:val="left" w:pos="0"/>
        </w:tabs>
        <w:ind w:hanging="540"/>
      </w:pPr>
    </w:p>
    <w:p w14:paraId="472FDFB0" w14:textId="40A201BF" w:rsidR="00127128" w:rsidRDefault="00F83CAA" w:rsidP="00A95997">
      <w:pPr>
        <w:tabs>
          <w:tab w:val="left" w:pos="0"/>
        </w:tabs>
        <w:ind w:hanging="540"/>
      </w:pPr>
      <w:r>
        <w:rPr>
          <w:highlight w:val="lightGray"/>
        </w:rPr>
        <w:tab/>
      </w:r>
      <w:r w:rsidR="00127128" w:rsidRPr="00DC108F">
        <w:rPr>
          <w:highlight w:val="lightGray"/>
        </w:rPr>
        <w:t>&lt;</w:t>
      </w:r>
      <w:r w:rsidR="00127128" w:rsidRPr="00DC108F">
        <w:rPr>
          <w:szCs w:val="22"/>
          <w:highlight w:val="lightGray"/>
          <w:u w:val="single"/>
        </w:rPr>
        <w:t>Zvláštní omezení použití a zvláštní podmínky pro použití</w:t>
      </w:r>
      <w:r w:rsidR="00127128" w:rsidRPr="00DC108F">
        <w:rPr>
          <w:highlight w:val="lightGray"/>
        </w:rPr>
        <w:t>:&gt;</w:t>
      </w:r>
    </w:p>
    <w:p w14:paraId="2E9EF391" w14:textId="77777777" w:rsidR="00127128" w:rsidRPr="004D0618" w:rsidRDefault="00127128" w:rsidP="00A95997">
      <w:pPr>
        <w:tabs>
          <w:tab w:val="left" w:pos="0"/>
        </w:tabs>
        <w:ind w:hanging="540"/>
      </w:pPr>
    </w:p>
    <w:p w14:paraId="52949E0B" w14:textId="1D7E35F7" w:rsidR="00A95997" w:rsidRPr="004D0618" w:rsidRDefault="0021701D" w:rsidP="00A95997">
      <w:pPr>
        <w:tabs>
          <w:tab w:val="left" w:pos="0"/>
        </w:tabs>
        <w:rPr>
          <w:u w:val="single"/>
        </w:rPr>
      </w:pPr>
      <w:r>
        <w:rPr>
          <w:u w:val="single"/>
        </w:rPr>
        <w:t>Hlavní i</w:t>
      </w:r>
      <w:r w:rsidR="00A95997" w:rsidRPr="004D0618">
        <w:rPr>
          <w:u w:val="single"/>
        </w:rPr>
        <w:t>nkompatibility:</w:t>
      </w:r>
    </w:p>
    <w:p w14:paraId="2A7FE430" w14:textId="38F6BC09" w:rsidR="00A95997" w:rsidRPr="004D0618" w:rsidRDefault="00A95997" w:rsidP="00A95997">
      <w:pPr>
        <w:rPr>
          <w:bCs/>
        </w:rPr>
      </w:pPr>
      <w:r w:rsidRPr="004D0618">
        <w:t xml:space="preserve">Studie kompatibility nejsou k dispozici, a proto tento veterinární léčivý přípravek nesmí být </w:t>
      </w:r>
      <w:r>
        <w:t>mísen</w:t>
      </w:r>
      <w:r w:rsidRPr="004D0618">
        <w:t xml:space="preserve"> s</w:t>
      </w:r>
      <w:r>
        <w:t xml:space="preserve"> žádnými dalšími </w:t>
      </w:r>
      <w:r w:rsidRPr="004D0618">
        <w:t>veterinárními léčivými přípravky.</w:t>
      </w:r>
    </w:p>
    <w:p w14:paraId="0761D743" w14:textId="77777777" w:rsidR="00A95997" w:rsidRDefault="00A95997" w:rsidP="00A95997">
      <w:pPr>
        <w:tabs>
          <w:tab w:val="left" w:pos="0"/>
        </w:tabs>
      </w:pPr>
    </w:p>
    <w:p w14:paraId="0E6EBB1F" w14:textId="77777777" w:rsidR="00DC108F" w:rsidRPr="004D0618" w:rsidRDefault="00DC108F" w:rsidP="00A95997">
      <w:pPr>
        <w:tabs>
          <w:tab w:val="left" w:pos="0"/>
        </w:tabs>
      </w:pPr>
    </w:p>
    <w:p w14:paraId="695E99B4" w14:textId="77777777" w:rsidR="00A12093" w:rsidRPr="00B41D57" w:rsidRDefault="00A12093" w:rsidP="00A12093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0D495A4F" w14:textId="4F134F05" w:rsidR="00EE6B91" w:rsidRDefault="00EE6B91" w:rsidP="00EE6B91"/>
    <w:p w14:paraId="32CB5BDE" w14:textId="09533D22" w:rsidR="009D1FE2" w:rsidRPr="00DC108F" w:rsidRDefault="009D1FE2" w:rsidP="00EE6B91">
      <w:pPr>
        <w:rPr>
          <w:b/>
        </w:rPr>
      </w:pPr>
      <w:r w:rsidRPr="00DC108F">
        <w:rPr>
          <w:b/>
        </w:rPr>
        <w:t>Koně, skot, prasata, psi, kočky:</w:t>
      </w:r>
    </w:p>
    <w:p w14:paraId="4ED7C50F" w14:textId="62E05500" w:rsidR="009D1FE2" w:rsidRDefault="009D1FE2" w:rsidP="00DC108F">
      <w:r w:rsidRPr="00B41D57">
        <w:t>Vzácné</w:t>
      </w:r>
      <w:r>
        <w:rPr>
          <w:szCs w:val="22"/>
        </w:rPr>
        <w:t xml:space="preserve"> </w:t>
      </w:r>
      <w:r w:rsidRPr="00B41D57">
        <w:t>(1 až 10 zvířat / 10 000 ošetřených zvířat):</w:t>
      </w:r>
    </w:p>
    <w:p w14:paraId="5329DE6E" w14:textId="35D039BE" w:rsidR="009D1FE2" w:rsidRPr="00DC108F" w:rsidRDefault="009D1FE2" w:rsidP="00DC108F">
      <w:pPr>
        <w:rPr>
          <w:szCs w:val="22"/>
        </w:rPr>
      </w:pPr>
      <w:r>
        <w:t>T</w:t>
      </w:r>
      <w:r w:rsidRPr="004D0618">
        <w:t>achykardie</w:t>
      </w:r>
      <w:r>
        <w:t xml:space="preserve">, </w:t>
      </w:r>
      <w:r w:rsidR="00530E42">
        <w:t>z</w:t>
      </w:r>
      <w:r w:rsidRPr="004D0618">
        <w:t>výšený krevní tlak</w:t>
      </w:r>
      <w:r>
        <w:t xml:space="preserve">, </w:t>
      </w:r>
      <w:r w:rsidR="00530E42">
        <w:t>z</w:t>
      </w:r>
      <w:r>
        <w:t>výšené</w:t>
      </w:r>
      <w:r w:rsidRPr="004D0618">
        <w:t xml:space="preserve"> slinění</w:t>
      </w:r>
      <w:r>
        <w:rPr>
          <w:vertAlign w:val="superscript"/>
        </w:rPr>
        <w:t>1</w:t>
      </w:r>
      <w:r w:rsidR="00DC108F" w:rsidRPr="00DC108F">
        <w:t>.</w:t>
      </w:r>
    </w:p>
    <w:p w14:paraId="5DE23682" w14:textId="23213903" w:rsidR="009D1FE2" w:rsidRDefault="009D1FE2" w:rsidP="00871283">
      <w:pPr>
        <w:widowControl w:val="0"/>
        <w:tabs>
          <w:tab w:val="right" w:pos="9311"/>
        </w:tabs>
        <w:kinsoku w:val="0"/>
        <w:overflowPunct w:val="0"/>
        <w:autoSpaceDE w:val="0"/>
        <w:autoSpaceDN w:val="0"/>
        <w:adjustRightInd w:val="0"/>
        <w:spacing w:before="1"/>
        <w:rPr>
          <w:spacing w:val="-2"/>
          <w:szCs w:val="22"/>
          <w:lang w:eastAsia="de-DE"/>
        </w:rPr>
      </w:pPr>
    </w:p>
    <w:p w14:paraId="4C94EA7A" w14:textId="3BBA4EF7" w:rsidR="009D1FE2" w:rsidRDefault="009D1FE2" w:rsidP="00871283">
      <w:pPr>
        <w:widowControl w:val="0"/>
        <w:tabs>
          <w:tab w:val="right" w:pos="9311"/>
        </w:tabs>
        <w:kinsoku w:val="0"/>
        <w:overflowPunct w:val="0"/>
        <w:autoSpaceDE w:val="0"/>
        <w:autoSpaceDN w:val="0"/>
        <w:adjustRightInd w:val="0"/>
        <w:spacing w:before="1"/>
        <w:rPr>
          <w:szCs w:val="22"/>
        </w:rPr>
      </w:pPr>
      <w:r>
        <w:rPr>
          <w:szCs w:val="22"/>
        </w:rPr>
        <w:t>Četnost neznámá (z dostupných údajů nelze určit):</w:t>
      </w:r>
    </w:p>
    <w:p w14:paraId="757425C8" w14:textId="353F999D" w:rsidR="009D1FE2" w:rsidRDefault="009D1FE2" w:rsidP="00DC108F">
      <w:pPr>
        <w:widowControl w:val="0"/>
        <w:tabs>
          <w:tab w:val="right" w:pos="9311"/>
        </w:tabs>
        <w:kinsoku w:val="0"/>
        <w:overflowPunct w:val="0"/>
        <w:autoSpaceDE w:val="0"/>
        <w:autoSpaceDN w:val="0"/>
        <w:adjustRightInd w:val="0"/>
        <w:spacing w:before="1"/>
        <w:rPr>
          <w:spacing w:val="-2"/>
          <w:szCs w:val="22"/>
          <w:lang w:eastAsia="de-DE"/>
        </w:rPr>
      </w:pPr>
      <w:r w:rsidRPr="009D1FE2">
        <w:rPr>
          <w:spacing w:val="-2"/>
          <w:szCs w:val="22"/>
          <w:lang w:eastAsia="de-DE"/>
        </w:rPr>
        <w:t xml:space="preserve">Okamžitá bolest po </w:t>
      </w:r>
      <w:r w:rsidR="00530E42">
        <w:rPr>
          <w:spacing w:val="-2"/>
          <w:szCs w:val="22"/>
          <w:lang w:eastAsia="de-DE"/>
        </w:rPr>
        <w:t>injekčním podání</w:t>
      </w:r>
      <w:r w:rsidRPr="009D1FE2">
        <w:rPr>
          <w:spacing w:val="-2"/>
          <w:szCs w:val="22"/>
          <w:vertAlign w:val="superscript"/>
          <w:lang w:eastAsia="de-DE"/>
        </w:rPr>
        <w:t>2</w:t>
      </w:r>
      <w:r>
        <w:rPr>
          <w:spacing w:val="-2"/>
          <w:szCs w:val="22"/>
          <w:lang w:eastAsia="de-DE"/>
        </w:rPr>
        <w:t xml:space="preserve">, </w:t>
      </w:r>
      <w:r w:rsidR="00530E42">
        <w:rPr>
          <w:spacing w:val="-2"/>
          <w:szCs w:val="22"/>
          <w:lang w:eastAsia="de-DE"/>
        </w:rPr>
        <w:t>z</w:t>
      </w:r>
      <w:r w:rsidRPr="009D1FE2">
        <w:rPr>
          <w:spacing w:val="-2"/>
          <w:szCs w:val="22"/>
          <w:lang w:eastAsia="de-DE"/>
        </w:rPr>
        <w:t>výšený svalový tonus</w:t>
      </w:r>
      <w:r w:rsidRPr="009D1FE2">
        <w:rPr>
          <w:spacing w:val="-2"/>
          <w:szCs w:val="22"/>
          <w:vertAlign w:val="superscript"/>
          <w:lang w:eastAsia="de-DE"/>
        </w:rPr>
        <w:t>3</w:t>
      </w:r>
      <w:r w:rsidRPr="009D1FE2">
        <w:rPr>
          <w:spacing w:val="-2"/>
          <w:szCs w:val="22"/>
          <w:lang w:eastAsia="de-DE"/>
        </w:rPr>
        <w:t xml:space="preserve">, </w:t>
      </w:r>
      <w:r w:rsidR="00530E42">
        <w:rPr>
          <w:spacing w:val="-2"/>
          <w:szCs w:val="22"/>
          <w:lang w:eastAsia="de-DE"/>
        </w:rPr>
        <w:t>s</w:t>
      </w:r>
      <w:r w:rsidRPr="009D1FE2">
        <w:rPr>
          <w:spacing w:val="-2"/>
          <w:szCs w:val="22"/>
          <w:lang w:eastAsia="de-DE"/>
        </w:rPr>
        <w:t>valový třes</w:t>
      </w:r>
      <w:r w:rsidRPr="009D1FE2">
        <w:rPr>
          <w:spacing w:val="-2"/>
          <w:szCs w:val="22"/>
          <w:vertAlign w:val="superscript"/>
          <w:lang w:eastAsia="de-DE"/>
        </w:rPr>
        <w:t>4</w:t>
      </w:r>
      <w:r w:rsidRPr="009D1FE2">
        <w:rPr>
          <w:spacing w:val="-2"/>
          <w:szCs w:val="22"/>
          <w:lang w:eastAsia="de-DE"/>
        </w:rPr>
        <w:t xml:space="preserve">, </w:t>
      </w:r>
      <w:r w:rsidR="00530E42">
        <w:rPr>
          <w:spacing w:val="-2"/>
          <w:szCs w:val="22"/>
          <w:lang w:eastAsia="de-DE"/>
        </w:rPr>
        <w:t>k</w:t>
      </w:r>
      <w:r w:rsidRPr="009D1FE2">
        <w:rPr>
          <w:spacing w:val="-2"/>
          <w:szCs w:val="22"/>
          <w:lang w:eastAsia="de-DE"/>
        </w:rPr>
        <w:t>řeče</w:t>
      </w:r>
      <w:r w:rsidRPr="009D1FE2">
        <w:rPr>
          <w:spacing w:val="-2"/>
          <w:szCs w:val="22"/>
          <w:vertAlign w:val="superscript"/>
          <w:lang w:eastAsia="de-DE"/>
        </w:rPr>
        <w:t>4,5</w:t>
      </w:r>
      <w:r>
        <w:rPr>
          <w:spacing w:val="-2"/>
          <w:szCs w:val="22"/>
          <w:lang w:eastAsia="de-DE"/>
        </w:rPr>
        <w:t xml:space="preserve">, </w:t>
      </w:r>
      <w:r w:rsidR="00530E42">
        <w:rPr>
          <w:iCs/>
          <w:spacing w:val="-2"/>
          <w:szCs w:val="22"/>
          <w:lang w:eastAsia="de-DE"/>
        </w:rPr>
        <w:t>n</w:t>
      </w:r>
      <w:r w:rsidRPr="009D1FE2">
        <w:rPr>
          <w:iCs/>
          <w:spacing w:val="-2"/>
          <w:szCs w:val="22"/>
          <w:lang w:eastAsia="de-DE"/>
        </w:rPr>
        <w:t>ystagmus</w:t>
      </w:r>
      <w:r w:rsidRPr="009D1FE2">
        <w:rPr>
          <w:iCs/>
          <w:spacing w:val="-2"/>
          <w:szCs w:val="22"/>
          <w:vertAlign w:val="superscript"/>
          <w:lang w:eastAsia="de-DE"/>
        </w:rPr>
        <w:t>6</w:t>
      </w:r>
      <w:r w:rsidRPr="009D1FE2">
        <w:rPr>
          <w:iCs/>
          <w:spacing w:val="-2"/>
          <w:szCs w:val="22"/>
          <w:lang w:eastAsia="de-DE"/>
        </w:rPr>
        <w:t xml:space="preserve">, </w:t>
      </w:r>
      <w:r w:rsidR="00530E42">
        <w:rPr>
          <w:iCs/>
          <w:spacing w:val="-2"/>
          <w:szCs w:val="22"/>
          <w:lang w:eastAsia="de-DE"/>
        </w:rPr>
        <w:t>m</w:t>
      </w:r>
      <w:r w:rsidRPr="009D1FE2">
        <w:rPr>
          <w:iCs/>
          <w:spacing w:val="-2"/>
          <w:szCs w:val="22"/>
          <w:lang w:eastAsia="de-DE"/>
        </w:rPr>
        <w:t>ydriáza</w:t>
      </w:r>
      <w:r w:rsidRPr="009D1FE2">
        <w:rPr>
          <w:iCs/>
          <w:spacing w:val="-2"/>
          <w:szCs w:val="22"/>
          <w:vertAlign w:val="superscript"/>
          <w:lang w:eastAsia="de-DE"/>
        </w:rPr>
        <w:t>6</w:t>
      </w:r>
      <w:r w:rsidRPr="009D1FE2">
        <w:rPr>
          <w:iCs/>
          <w:spacing w:val="-2"/>
          <w:szCs w:val="22"/>
          <w:lang w:eastAsia="de-DE"/>
        </w:rPr>
        <w:t xml:space="preserve">, </w:t>
      </w:r>
      <w:r w:rsidR="00530E42">
        <w:rPr>
          <w:iCs/>
          <w:spacing w:val="-2"/>
          <w:szCs w:val="22"/>
          <w:lang w:eastAsia="de-DE"/>
        </w:rPr>
        <w:t>h</w:t>
      </w:r>
      <w:r w:rsidRPr="009D1FE2">
        <w:rPr>
          <w:iCs/>
          <w:spacing w:val="-2"/>
          <w:szCs w:val="22"/>
          <w:lang w:eastAsia="de-DE"/>
        </w:rPr>
        <w:t>yperestézie,</w:t>
      </w:r>
      <w:r w:rsidRPr="009D1FE2">
        <w:rPr>
          <w:spacing w:val="-2"/>
          <w:szCs w:val="22"/>
          <w:lang w:eastAsia="de-DE"/>
        </w:rPr>
        <w:t xml:space="preserve"> </w:t>
      </w:r>
      <w:r w:rsidR="00530E42">
        <w:rPr>
          <w:spacing w:val="-2"/>
          <w:szCs w:val="22"/>
          <w:lang w:eastAsia="de-DE"/>
        </w:rPr>
        <w:t>z</w:t>
      </w:r>
      <w:r w:rsidRPr="009D1FE2">
        <w:rPr>
          <w:spacing w:val="-2"/>
          <w:szCs w:val="22"/>
          <w:lang w:eastAsia="de-DE"/>
        </w:rPr>
        <w:t>výšená citlivost vůči akustickým podnětům</w:t>
      </w:r>
      <w:r w:rsidRPr="009D1FE2">
        <w:rPr>
          <w:spacing w:val="-2"/>
          <w:szCs w:val="22"/>
          <w:vertAlign w:val="superscript"/>
          <w:lang w:eastAsia="de-DE"/>
        </w:rPr>
        <w:t>7</w:t>
      </w:r>
      <w:r>
        <w:rPr>
          <w:spacing w:val="-2"/>
          <w:szCs w:val="22"/>
          <w:lang w:eastAsia="de-DE"/>
        </w:rPr>
        <w:t xml:space="preserve">, </w:t>
      </w:r>
      <w:r w:rsidR="00530E42">
        <w:rPr>
          <w:iCs/>
          <w:spacing w:val="-2"/>
          <w:szCs w:val="22"/>
          <w:lang w:eastAsia="de-DE"/>
        </w:rPr>
        <w:t>e</w:t>
      </w:r>
      <w:r w:rsidRPr="009D1FE2">
        <w:rPr>
          <w:iCs/>
          <w:spacing w:val="-2"/>
          <w:szCs w:val="22"/>
          <w:lang w:eastAsia="de-DE"/>
        </w:rPr>
        <w:t>xcitace</w:t>
      </w:r>
      <w:r w:rsidRPr="009D1FE2">
        <w:rPr>
          <w:iCs/>
          <w:spacing w:val="-2"/>
          <w:szCs w:val="22"/>
          <w:vertAlign w:val="superscript"/>
          <w:lang w:eastAsia="de-DE"/>
        </w:rPr>
        <w:t>8</w:t>
      </w:r>
      <w:r>
        <w:rPr>
          <w:iCs/>
          <w:spacing w:val="-2"/>
          <w:szCs w:val="22"/>
          <w:lang w:eastAsia="de-DE"/>
        </w:rPr>
        <w:t xml:space="preserve">, </w:t>
      </w:r>
      <w:r w:rsidR="00530E42">
        <w:rPr>
          <w:iCs/>
          <w:spacing w:val="-2"/>
          <w:szCs w:val="22"/>
          <w:lang w:eastAsia="de-DE"/>
        </w:rPr>
        <w:t>r</w:t>
      </w:r>
      <w:r w:rsidRPr="009D1FE2">
        <w:rPr>
          <w:iCs/>
          <w:spacing w:val="-2"/>
          <w:szCs w:val="22"/>
          <w:lang w:eastAsia="de-DE"/>
        </w:rPr>
        <w:t>espirační deprese</w:t>
      </w:r>
      <w:r w:rsidRPr="009D1FE2">
        <w:rPr>
          <w:iCs/>
          <w:spacing w:val="-2"/>
          <w:szCs w:val="22"/>
          <w:vertAlign w:val="superscript"/>
          <w:lang w:eastAsia="de-DE"/>
        </w:rPr>
        <w:t>9</w:t>
      </w:r>
      <w:r w:rsidRPr="009D1FE2">
        <w:rPr>
          <w:iCs/>
          <w:spacing w:val="-2"/>
          <w:szCs w:val="22"/>
          <w:lang w:eastAsia="de-DE"/>
        </w:rPr>
        <w:t xml:space="preserve">, </w:t>
      </w:r>
      <w:r w:rsidR="00530E42">
        <w:rPr>
          <w:iCs/>
          <w:spacing w:val="-2"/>
          <w:szCs w:val="22"/>
          <w:lang w:eastAsia="de-DE"/>
        </w:rPr>
        <w:t>r</w:t>
      </w:r>
      <w:r w:rsidRPr="009D1FE2">
        <w:rPr>
          <w:iCs/>
          <w:spacing w:val="-2"/>
          <w:szCs w:val="22"/>
          <w:lang w:eastAsia="de-DE"/>
        </w:rPr>
        <w:t>espirační zástava</w:t>
      </w:r>
      <w:r w:rsidRPr="009D1FE2">
        <w:rPr>
          <w:iCs/>
          <w:spacing w:val="-2"/>
          <w:szCs w:val="22"/>
          <w:vertAlign w:val="superscript"/>
          <w:lang w:eastAsia="de-DE"/>
        </w:rPr>
        <w:t>10</w:t>
      </w:r>
      <w:r w:rsidR="00DC108F" w:rsidRPr="00DC108F">
        <w:rPr>
          <w:iCs/>
          <w:spacing w:val="-2"/>
          <w:szCs w:val="22"/>
          <w:lang w:eastAsia="de-DE"/>
        </w:rPr>
        <w:t>.</w:t>
      </w:r>
    </w:p>
    <w:p w14:paraId="7165A2C6" w14:textId="1C5F9666" w:rsidR="009D1FE2" w:rsidRDefault="009D1FE2" w:rsidP="00871283">
      <w:pPr>
        <w:widowControl w:val="0"/>
        <w:tabs>
          <w:tab w:val="right" w:pos="9311"/>
        </w:tabs>
        <w:kinsoku w:val="0"/>
        <w:overflowPunct w:val="0"/>
        <w:autoSpaceDE w:val="0"/>
        <w:autoSpaceDN w:val="0"/>
        <w:adjustRightInd w:val="0"/>
        <w:spacing w:before="1"/>
        <w:rPr>
          <w:spacing w:val="-2"/>
          <w:szCs w:val="22"/>
          <w:lang w:eastAsia="de-DE"/>
        </w:rPr>
      </w:pPr>
    </w:p>
    <w:p w14:paraId="61E85DC3" w14:textId="77777777" w:rsidR="009D1FE2" w:rsidRPr="00A509AA" w:rsidRDefault="009D1FE2" w:rsidP="009D1FE2">
      <w:pPr>
        <w:widowControl w:val="0"/>
        <w:tabs>
          <w:tab w:val="right" w:pos="9311"/>
        </w:tabs>
        <w:kinsoku w:val="0"/>
        <w:overflowPunct w:val="0"/>
        <w:autoSpaceDE w:val="0"/>
        <w:autoSpaceDN w:val="0"/>
        <w:adjustRightInd w:val="0"/>
        <w:spacing w:before="1"/>
        <w:rPr>
          <w:spacing w:val="-2"/>
          <w:szCs w:val="22"/>
          <w:lang w:eastAsia="de-DE"/>
        </w:rPr>
      </w:pPr>
      <w:r>
        <w:rPr>
          <w:spacing w:val="-2"/>
          <w:szCs w:val="22"/>
          <w:vertAlign w:val="superscript"/>
          <w:lang w:eastAsia="de-DE"/>
        </w:rPr>
        <w:t>1</w:t>
      </w:r>
      <w:r>
        <w:rPr>
          <w:spacing w:val="-2"/>
          <w:szCs w:val="22"/>
          <w:lang w:eastAsia="de-DE"/>
        </w:rPr>
        <w:t xml:space="preserve"> </w:t>
      </w:r>
      <w:r>
        <w:t>Kvůli</w:t>
      </w:r>
      <w:r w:rsidRPr="004D0618">
        <w:t xml:space="preserve"> stimulaci mozkového kmene</w:t>
      </w:r>
      <w:r>
        <w:t>.</w:t>
      </w:r>
    </w:p>
    <w:p w14:paraId="2A61E86B" w14:textId="77777777" w:rsidR="009D1FE2" w:rsidRDefault="009D1FE2" w:rsidP="009D1FE2">
      <w:pPr>
        <w:widowControl w:val="0"/>
        <w:tabs>
          <w:tab w:val="right" w:pos="9311"/>
        </w:tabs>
        <w:kinsoku w:val="0"/>
        <w:overflowPunct w:val="0"/>
        <w:autoSpaceDE w:val="0"/>
        <w:autoSpaceDN w:val="0"/>
        <w:adjustRightInd w:val="0"/>
        <w:spacing w:before="1"/>
        <w:rPr>
          <w:spacing w:val="-2"/>
          <w:szCs w:val="22"/>
          <w:lang w:eastAsia="de-DE"/>
        </w:rPr>
      </w:pPr>
      <w:r>
        <w:rPr>
          <w:spacing w:val="-2"/>
          <w:szCs w:val="22"/>
          <w:vertAlign w:val="superscript"/>
          <w:lang w:eastAsia="de-DE"/>
        </w:rPr>
        <w:t>2</w:t>
      </w:r>
      <w:r>
        <w:rPr>
          <w:spacing w:val="-2"/>
          <w:szCs w:val="22"/>
          <w:lang w:eastAsia="de-DE"/>
        </w:rPr>
        <w:t xml:space="preserve"> Po intramuskulárním podání.</w:t>
      </w:r>
    </w:p>
    <w:p w14:paraId="091E1DE7" w14:textId="77777777" w:rsidR="009D1FE2" w:rsidRDefault="009D1FE2" w:rsidP="009D1FE2">
      <w:pPr>
        <w:widowControl w:val="0"/>
        <w:tabs>
          <w:tab w:val="right" w:pos="9311"/>
        </w:tabs>
        <w:kinsoku w:val="0"/>
        <w:overflowPunct w:val="0"/>
        <w:autoSpaceDE w:val="0"/>
        <w:autoSpaceDN w:val="0"/>
        <w:adjustRightInd w:val="0"/>
        <w:spacing w:before="1"/>
      </w:pPr>
      <w:r>
        <w:rPr>
          <w:spacing w:val="-2"/>
          <w:szCs w:val="22"/>
          <w:vertAlign w:val="superscript"/>
          <w:lang w:eastAsia="de-DE"/>
        </w:rPr>
        <w:t>3</w:t>
      </w:r>
      <w:r>
        <w:rPr>
          <w:spacing w:val="-2"/>
          <w:szCs w:val="22"/>
          <w:lang w:eastAsia="de-DE"/>
        </w:rPr>
        <w:t xml:space="preserve"> </w:t>
      </w:r>
      <w:r>
        <w:t>Kvůli</w:t>
      </w:r>
      <w:r w:rsidRPr="004D0618">
        <w:t xml:space="preserve"> disinhibici extrapyramid</w:t>
      </w:r>
      <w:r>
        <w:t>ového</w:t>
      </w:r>
      <w:r w:rsidRPr="004D0618">
        <w:t xml:space="preserve"> systému</w:t>
      </w:r>
      <w:r>
        <w:t>.</w:t>
      </w:r>
    </w:p>
    <w:p w14:paraId="636DCFE7" w14:textId="77777777" w:rsidR="009D1FE2" w:rsidRDefault="009D1FE2" w:rsidP="009D1FE2">
      <w:pPr>
        <w:widowControl w:val="0"/>
        <w:tabs>
          <w:tab w:val="right" w:pos="9311"/>
        </w:tabs>
        <w:kinsoku w:val="0"/>
        <w:overflowPunct w:val="0"/>
        <w:autoSpaceDE w:val="0"/>
        <w:autoSpaceDN w:val="0"/>
        <w:adjustRightInd w:val="0"/>
        <w:spacing w:before="1"/>
      </w:pPr>
      <w:r>
        <w:rPr>
          <w:spacing w:val="-2"/>
          <w:szCs w:val="22"/>
          <w:vertAlign w:val="superscript"/>
          <w:lang w:eastAsia="de-DE"/>
        </w:rPr>
        <w:t xml:space="preserve">4 </w:t>
      </w:r>
      <w:r w:rsidRPr="004D0618">
        <w:t>Když není souběžně podáváno svalové relaxancium</w:t>
      </w:r>
      <w:r>
        <w:t>.</w:t>
      </w:r>
    </w:p>
    <w:p w14:paraId="06CDB879" w14:textId="77777777" w:rsidR="009D1FE2" w:rsidRDefault="009D1FE2" w:rsidP="009D1FE2">
      <w:pPr>
        <w:widowControl w:val="0"/>
        <w:tabs>
          <w:tab w:val="right" w:pos="9311"/>
        </w:tabs>
        <w:kinsoku w:val="0"/>
        <w:overflowPunct w:val="0"/>
        <w:autoSpaceDE w:val="0"/>
        <w:autoSpaceDN w:val="0"/>
        <w:adjustRightInd w:val="0"/>
        <w:spacing w:before="1"/>
      </w:pPr>
      <w:r>
        <w:rPr>
          <w:spacing w:val="-2"/>
          <w:szCs w:val="22"/>
          <w:vertAlign w:val="superscript"/>
          <w:lang w:eastAsia="de-DE"/>
        </w:rPr>
        <w:t xml:space="preserve">5 </w:t>
      </w:r>
      <w:r>
        <w:t>T</w:t>
      </w:r>
      <w:r w:rsidRPr="004D0618">
        <w:t>onicko</w:t>
      </w:r>
      <w:r>
        <w:t>-</w:t>
      </w:r>
      <w:r w:rsidRPr="004D0618">
        <w:t>klonické</w:t>
      </w:r>
      <w:r>
        <w:t>.</w:t>
      </w:r>
    </w:p>
    <w:p w14:paraId="1D2AAE7C" w14:textId="1C98975D" w:rsidR="009D1FE2" w:rsidRDefault="009D1FE2" w:rsidP="009D1FE2">
      <w:pPr>
        <w:widowControl w:val="0"/>
        <w:tabs>
          <w:tab w:val="right" w:pos="9311"/>
        </w:tabs>
        <w:kinsoku w:val="0"/>
        <w:overflowPunct w:val="0"/>
        <w:autoSpaceDE w:val="0"/>
        <w:autoSpaceDN w:val="0"/>
        <w:adjustRightInd w:val="0"/>
        <w:spacing w:before="1"/>
      </w:pPr>
      <w:r>
        <w:rPr>
          <w:spacing w:val="-2"/>
          <w:szCs w:val="22"/>
          <w:vertAlign w:val="superscript"/>
          <w:lang w:eastAsia="de-DE"/>
        </w:rPr>
        <w:t xml:space="preserve">6 </w:t>
      </w:r>
      <w:r>
        <w:t>Oči zůstávají o</w:t>
      </w:r>
      <w:r w:rsidRPr="004D0618">
        <w:t>tevřené</w:t>
      </w:r>
      <w:r w:rsidR="00366F00">
        <w:t>.</w:t>
      </w:r>
    </w:p>
    <w:p w14:paraId="09748B30" w14:textId="77777777" w:rsidR="009D1FE2" w:rsidRDefault="009D1FE2" w:rsidP="009D1FE2">
      <w:pPr>
        <w:widowControl w:val="0"/>
        <w:tabs>
          <w:tab w:val="right" w:pos="9311"/>
        </w:tabs>
        <w:kinsoku w:val="0"/>
        <w:overflowPunct w:val="0"/>
        <w:autoSpaceDE w:val="0"/>
        <w:autoSpaceDN w:val="0"/>
        <w:adjustRightInd w:val="0"/>
        <w:spacing w:before="1"/>
      </w:pPr>
      <w:r>
        <w:rPr>
          <w:vertAlign w:val="superscript"/>
        </w:rPr>
        <w:t xml:space="preserve">7 </w:t>
      </w:r>
      <w:r>
        <w:t>B</w:t>
      </w:r>
      <w:r w:rsidRPr="004D0618">
        <w:t>ěhem anestézie a v období zotavování.</w:t>
      </w:r>
    </w:p>
    <w:p w14:paraId="570C767F" w14:textId="77777777" w:rsidR="009D1FE2" w:rsidRDefault="009D1FE2" w:rsidP="009D1FE2">
      <w:pPr>
        <w:widowControl w:val="0"/>
        <w:tabs>
          <w:tab w:val="right" w:pos="9311"/>
        </w:tabs>
        <w:kinsoku w:val="0"/>
        <w:overflowPunct w:val="0"/>
        <w:autoSpaceDE w:val="0"/>
        <w:autoSpaceDN w:val="0"/>
        <w:adjustRightInd w:val="0"/>
        <w:spacing w:before="1"/>
      </w:pPr>
      <w:r>
        <w:rPr>
          <w:vertAlign w:val="superscript"/>
        </w:rPr>
        <w:t xml:space="preserve">8 </w:t>
      </w:r>
      <w:r>
        <w:t>Motorické.</w:t>
      </w:r>
    </w:p>
    <w:p w14:paraId="142AB99C" w14:textId="77777777" w:rsidR="009D1FE2" w:rsidRPr="0049652B" w:rsidRDefault="009D1FE2" w:rsidP="009D1FE2">
      <w:pPr>
        <w:widowControl w:val="0"/>
        <w:tabs>
          <w:tab w:val="right" w:pos="9311"/>
        </w:tabs>
        <w:kinsoku w:val="0"/>
        <w:overflowPunct w:val="0"/>
        <w:autoSpaceDE w:val="0"/>
        <w:autoSpaceDN w:val="0"/>
        <w:adjustRightInd w:val="0"/>
        <w:spacing w:before="1"/>
      </w:pPr>
      <w:r>
        <w:rPr>
          <w:vertAlign w:val="superscript"/>
        </w:rPr>
        <w:t xml:space="preserve">9 </w:t>
      </w:r>
      <w:r>
        <w:rPr>
          <w:szCs w:val="22"/>
          <w:lang w:eastAsia="de-DE"/>
        </w:rPr>
        <w:t>Z</w:t>
      </w:r>
      <w:r w:rsidRPr="0092032D">
        <w:rPr>
          <w:szCs w:val="22"/>
          <w:lang w:eastAsia="de-DE"/>
        </w:rPr>
        <w:t>ávisející na dávce</w:t>
      </w:r>
      <w:r>
        <w:rPr>
          <w:szCs w:val="22"/>
          <w:lang w:eastAsia="de-DE"/>
        </w:rPr>
        <w:t xml:space="preserve">. V </w:t>
      </w:r>
      <w:r w:rsidRPr="0092032D">
        <w:rPr>
          <w:szCs w:val="22"/>
          <w:lang w:eastAsia="de-DE"/>
        </w:rPr>
        <w:t xml:space="preserve">kombinací s přípravky utlumujícími dýchání může být </w:t>
      </w:r>
      <w:r>
        <w:rPr>
          <w:szCs w:val="22"/>
          <w:lang w:eastAsia="de-DE"/>
        </w:rPr>
        <w:t xml:space="preserve">účinek </w:t>
      </w:r>
      <w:r w:rsidRPr="0092032D">
        <w:rPr>
          <w:szCs w:val="22"/>
          <w:lang w:eastAsia="de-DE"/>
        </w:rPr>
        <w:t>posílen</w:t>
      </w:r>
      <w:r>
        <w:rPr>
          <w:szCs w:val="22"/>
          <w:lang w:eastAsia="de-DE"/>
        </w:rPr>
        <w:t>.</w:t>
      </w:r>
      <w:r w:rsidRPr="0092032D">
        <w:rPr>
          <w:szCs w:val="22"/>
          <w:lang w:eastAsia="de-DE"/>
        </w:rPr>
        <w:t xml:space="preserve"> </w:t>
      </w:r>
    </w:p>
    <w:p w14:paraId="1A199150" w14:textId="461F567C" w:rsidR="009D1FE2" w:rsidRDefault="009D1FE2" w:rsidP="009D1FE2">
      <w:pPr>
        <w:widowControl w:val="0"/>
        <w:tabs>
          <w:tab w:val="right" w:pos="9311"/>
        </w:tabs>
        <w:kinsoku w:val="0"/>
        <w:overflowPunct w:val="0"/>
        <w:autoSpaceDE w:val="0"/>
        <w:autoSpaceDN w:val="0"/>
        <w:adjustRightInd w:val="0"/>
        <w:spacing w:before="1"/>
        <w:rPr>
          <w:spacing w:val="-2"/>
          <w:szCs w:val="22"/>
          <w:lang w:eastAsia="de-DE"/>
        </w:rPr>
      </w:pPr>
      <w:r>
        <w:rPr>
          <w:spacing w:val="-2"/>
          <w:szCs w:val="22"/>
          <w:vertAlign w:val="superscript"/>
          <w:lang w:eastAsia="de-DE"/>
        </w:rPr>
        <w:t>10</w:t>
      </w:r>
      <w:r>
        <w:rPr>
          <w:spacing w:val="-2"/>
          <w:szCs w:val="22"/>
          <w:lang w:eastAsia="de-DE"/>
        </w:rPr>
        <w:t xml:space="preserve"> </w:t>
      </w:r>
      <w:r>
        <w:rPr>
          <w:szCs w:val="22"/>
          <w:lang w:eastAsia="de-DE"/>
        </w:rPr>
        <w:t>Z</w:t>
      </w:r>
      <w:r w:rsidRPr="0092032D">
        <w:rPr>
          <w:szCs w:val="22"/>
          <w:lang w:eastAsia="de-DE"/>
        </w:rPr>
        <w:t>ejména u koček.</w:t>
      </w:r>
    </w:p>
    <w:p w14:paraId="503125B9" w14:textId="77777777" w:rsidR="00CD6B64" w:rsidRPr="00F30D3F" w:rsidRDefault="00CD6B64" w:rsidP="005E59AF"/>
    <w:p w14:paraId="14279EB7" w14:textId="24B4BBB7" w:rsidR="00407CA9" w:rsidRDefault="00A12093" w:rsidP="00952792"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s využitím kontaktních údajů uvedených na konci této příbalové informace nebo prostřednictvím národního systému hlášení nežádoucích účinků</w:t>
      </w:r>
      <w:r>
        <w:t>:</w:t>
      </w:r>
    </w:p>
    <w:p w14:paraId="44922EBA" w14:textId="77777777" w:rsidR="0027723E" w:rsidRDefault="0027723E" w:rsidP="00952792"/>
    <w:p w14:paraId="6B7A4695" w14:textId="77777777" w:rsidR="00A12093" w:rsidRPr="00E167CA" w:rsidRDefault="00A12093" w:rsidP="00A12093">
      <w:pPr>
        <w:rPr>
          <w:lang w:val="cs"/>
        </w:rPr>
      </w:pPr>
      <w:r w:rsidRPr="00E167CA">
        <w:rPr>
          <w:lang w:val="cs"/>
        </w:rPr>
        <w:t xml:space="preserve">Ústav pro státní kontrolu veterinárních biopreparátů a léčiv </w:t>
      </w:r>
    </w:p>
    <w:p w14:paraId="4CF2A722" w14:textId="62D07DAD" w:rsidR="00A12093" w:rsidRPr="000F652B" w:rsidRDefault="00A12093" w:rsidP="00A12093">
      <w:r w:rsidRPr="000F652B">
        <w:t xml:space="preserve">Hudcova </w:t>
      </w:r>
      <w:r w:rsidR="00AB4E6A">
        <w:t>232/</w:t>
      </w:r>
      <w:r w:rsidRPr="000F652B">
        <w:t>56a</w:t>
      </w:r>
    </w:p>
    <w:p w14:paraId="14029780" w14:textId="77777777" w:rsidR="00A12093" w:rsidRDefault="00A12093" w:rsidP="00A12093">
      <w:r w:rsidRPr="000F652B">
        <w:t>621 00 Brno</w:t>
      </w:r>
    </w:p>
    <w:p w14:paraId="427ABC4D" w14:textId="61BA15E2" w:rsidR="00A12093" w:rsidRDefault="00E85B9A" w:rsidP="00A12093">
      <w:pPr>
        <w:rPr>
          <w:rStyle w:val="Hypertextovodkaz"/>
        </w:rPr>
      </w:pPr>
      <w:r>
        <w:t>E-m</w:t>
      </w:r>
      <w:r w:rsidR="00A12093">
        <w:t xml:space="preserve">ail: </w:t>
      </w:r>
      <w:hyperlink r:id="rId10" w:history="1">
        <w:r w:rsidR="00A12093">
          <w:rPr>
            <w:rStyle w:val="Hypertextovodkaz"/>
          </w:rPr>
          <w:t>adr@uskvbl.cz</w:t>
        </w:r>
      </w:hyperlink>
    </w:p>
    <w:p w14:paraId="0A71EA93" w14:textId="4BB7A1D1" w:rsidR="00AB4E6A" w:rsidRDefault="00AB4E6A" w:rsidP="00A12093">
      <w:r>
        <w:t xml:space="preserve">Tel.: </w:t>
      </w:r>
      <w:r w:rsidRPr="00C672C7">
        <w:t>+420 720 940 693</w:t>
      </w:r>
    </w:p>
    <w:p w14:paraId="0CDBE8AF" w14:textId="7996B5A7" w:rsidR="00A12093" w:rsidRPr="00871283" w:rsidRDefault="00A12093" w:rsidP="00A12093">
      <w:pPr>
        <w:rPr>
          <w:highlight w:val="yellow"/>
        </w:rPr>
      </w:pPr>
      <w:r w:rsidRPr="000F652B">
        <w:t xml:space="preserve">Webové stránky: </w:t>
      </w:r>
      <w:hyperlink r:id="rId11" w:history="1">
        <w:r w:rsidRPr="000F652B">
          <w:rPr>
            <w:rStyle w:val="Hypertextovodkaz"/>
          </w:rPr>
          <w:t>http://www.uskvbl.cz/cs/farmakovigilance</w:t>
        </w:r>
      </w:hyperlink>
    </w:p>
    <w:p w14:paraId="4F0092C5" w14:textId="77777777" w:rsidR="00EE6B91" w:rsidRDefault="00EE6B91" w:rsidP="00EE6B91"/>
    <w:p w14:paraId="26CBCEFF" w14:textId="77777777" w:rsidR="00DC108F" w:rsidRDefault="00DC108F" w:rsidP="00EE6B91"/>
    <w:p w14:paraId="6C18264A" w14:textId="77777777" w:rsidR="00A12093" w:rsidRPr="00B41D57" w:rsidRDefault="00A12093" w:rsidP="00A12093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7FE6B049" w14:textId="4AD575D5" w:rsidR="00EE6B91" w:rsidRDefault="00EE6B91" w:rsidP="00EE6B91"/>
    <w:p w14:paraId="460BE76F" w14:textId="77777777" w:rsidR="00C6041E" w:rsidRDefault="00C6041E" w:rsidP="00C6041E">
      <w:r>
        <w:t>I</w:t>
      </w:r>
      <w:r w:rsidRPr="004D0618">
        <w:t>ntravenózn</w:t>
      </w:r>
      <w:r>
        <w:t>í</w:t>
      </w:r>
      <w:r w:rsidRPr="004D0618">
        <w:t xml:space="preserve"> </w:t>
      </w:r>
      <w:r>
        <w:t xml:space="preserve">podání (i.v.): </w:t>
      </w:r>
      <w:r w:rsidRPr="004D0618">
        <w:t>koně</w:t>
      </w:r>
      <w:r>
        <w:t>,</w:t>
      </w:r>
      <w:r w:rsidRPr="004D0618">
        <w:t xml:space="preserve"> skot</w:t>
      </w:r>
      <w:r>
        <w:t>, psi a kočky.</w:t>
      </w:r>
    </w:p>
    <w:p w14:paraId="51BA70C1" w14:textId="77777777" w:rsidR="00C6041E" w:rsidRDefault="00C6041E" w:rsidP="00C6041E">
      <w:r>
        <w:t>I</w:t>
      </w:r>
      <w:r w:rsidRPr="004D0618">
        <w:t>ntramuskulárn</w:t>
      </w:r>
      <w:r>
        <w:t>í</w:t>
      </w:r>
      <w:r w:rsidRPr="004D0618">
        <w:t xml:space="preserve"> </w:t>
      </w:r>
      <w:r>
        <w:t xml:space="preserve">podání (i.m.): </w:t>
      </w:r>
      <w:r w:rsidRPr="004D0618">
        <w:t>prasata, psi a kočky</w:t>
      </w:r>
      <w:r>
        <w:t>.</w:t>
      </w:r>
    </w:p>
    <w:p w14:paraId="7A1656C6" w14:textId="0CE480DC" w:rsidR="00C6041E" w:rsidRDefault="00C6041E" w:rsidP="00C6041E">
      <w:r>
        <w:t>S</w:t>
      </w:r>
      <w:r w:rsidRPr="004D0618">
        <w:t>ubkutánn</w:t>
      </w:r>
      <w:r>
        <w:t>í</w:t>
      </w:r>
      <w:r w:rsidRPr="004D0618">
        <w:t xml:space="preserve"> </w:t>
      </w:r>
      <w:r>
        <w:t xml:space="preserve">podání (s.c.): </w:t>
      </w:r>
      <w:r w:rsidRPr="004D0618">
        <w:t>koč</w:t>
      </w:r>
      <w:r>
        <w:t>ky</w:t>
      </w:r>
      <w:r w:rsidRPr="004D0618">
        <w:t>.</w:t>
      </w:r>
    </w:p>
    <w:p w14:paraId="35302973" w14:textId="77777777" w:rsidR="00C6041E" w:rsidRDefault="00C6041E" w:rsidP="00C6041E"/>
    <w:p w14:paraId="5005E704" w14:textId="3AE668D3" w:rsidR="00CD6B64" w:rsidRPr="004D0618" w:rsidRDefault="00CD6B64" w:rsidP="00A06E47">
      <w:r w:rsidRPr="004D0618">
        <w:t xml:space="preserve">Ketamin může </w:t>
      </w:r>
      <w:r>
        <w:t>vykazovat</w:t>
      </w:r>
      <w:r w:rsidRPr="004D0618">
        <w:t xml:space="preserve"> velkou interindividuální odchylku v účinku, a proto by se dávkování mělo přizpůsobit </w:t>
      </w:r>
      <w:r w:rsidR="00F117C1">
        <w:t>jednotlivému</w:t>
      </w:r>
      <w:r w:rsidR="00F117C1" w:rsidRPr="004D0618">
        <w:t xml:space="preserve"> </w:t>
      </w:r>
      <w:r w:rsidRPr="004D0618">
        <w:t>zvířeti v závislosti na faktorech jako je stáří, stav a požadovaná hloubka a doba trvání anest</w:t>
      </w:r>
      <w:r w:rsidR="00AB4E6A">
        <w:t>e</w:t>
      </w:r>
      <w:r w:rsidRPr="004D0618">
        <w:t>zie. Opakovaným podáním volitelně snížené výchozí dávky lze dosáhnout prodloužení účinku.</w:t>
      </w:r>
    </w:p>
    <w:p w14:paraId="777F31D0" w14:textId="556EA6AC" w:rsidR="00CD6B64" w:rsidRPr="004D0618" w:rsidRDefault="00CD6B64" w:rsidP="005E59AF">
      <w:pPr>
        <w:rPr>
          <w:szCs w:val="22"/>
        </w:rPr>
      </w:pPr>
      <w:r w:rsidRPr="004D0618">
        <w:t xml:space="preserve">U kombinovaného použití: před podáním ketaminu dbejte na to, aby zvířata měla </w:t>
      </w:r>
      <w:r w:rsidR="005E59AF">
        <w:t>adekvátní</w:t>
      </w:r>
      <w:r w:rsidR="005E59AF" w:rsidRPr="004D0618">
        <w:t xml:space="preserve"> </w:t>
      </w:r>
      <w:proofErr w:type="spellStart"/>
      <w:r w:rsidRPr="004D0618">
        <w:t>sedaci</w:t>
      </w:r>
      <w:proofErr w:type="spellEnd"/>
      <w:r w:rsidRPr="004D0618">
        <w:t>.</w:t>
      </w:r>
    </w:p>
    <w:p w14:paraId="65A6E222" w14:textId="77777777" w:rsidR="00CD6B64" w:rsidRPr="004D0618" w:rsidRDefault="00CD6B64" w:rsidP="00CD6B64">
      <w:pPr>
        <w:rPr>
          <w:szCs w:val="22"/>
        </w:rPr>
      </w:pPr>
    </w:p>
    <w:p w14:paraId="4E3E3001" w14:textId="10FCEEA0" w:rsidR="00CD6B64" w:rsidRPr="00DC108F" w:rsidRDefault="00CD6B64" w:rsidP="00CD6B64">
      <w:pPr>
        <w:tabs>
          <w:tab w:val="left" w:pos="0"/>
        </w:tabs>
        <w:rPr>
          <w:b/>
          <w:u w:val="single"/>
        </w:rPr>
      </w:pPr>
      <w:r w:rsidRPr="00DC108F">
        <w:rPr>
          <w:b/>
          <w:u w:val="single"/>
        </w:rPr>
        <w:t>K</w:t>
      </w:r>
      <w:r w:rsidR="00214AE3" w:rsidRPr="00DC108F">
        <w:rPr>
          <w:b/>
          <w:u w:val="single"/>
        </w:rPr>
        <w:t>oně</w:t>
      </w:r>
    </w:p>
    <w:p w14:paraId="42C487A8" w14:textId="77777777" w:rsidR="00CD6B64" w:rsidRPr="004D0618" w:rsidRDefault="00CD6B64" w:rsidP="00CD6B64">
      <w:pPr>
        <w:tabs>
          <w:tab w:val="left" w:pos="0"/>
        </w:tabs>
      </w:pPr>
      <w:r w:rsidRPr="004D0618">
        <w:t>Pro dostatečný anestetický účinek se požaduje premedikace sedativem:</w:t>
      </w:r>
    </w:p>
    <w:p w14:paraId="08950416" w14:textId="77777777" w:rsidR="00CD6B64" w:rsidRPr="004D0618" w:rsidRDefault="00CD6B64" w:rsidP="00CD6B64">
      <w:pPr>
        <w:tabs>
          <w:tab w:val="left" w:pos="0"/>
        </w:tabs>
        <w:rPr>
          <w:b/>
        </w:rPr>
      </w:pPr>
    </w:p>
    <w:p w14:paraId="57CA817A" w14:textId="525B374E" w:rsidR="00CD6B64" w:rsidRPr="004D0618" w:rsidRDefault="00CD6B64" w:rsidP="00CD6B64">
      <w:pPr>
        <w:tabs>
          <w:tab w:val="left" w:pos="0"/>
        </w:tabs>
        <w:rPr>
          <w:b/>
        </w:rPr>
      </w:pPr>
      <w:r>
        <w:rPr>
          <w:b/>
        </w:rPr>
        <w:t>Navození</w:t>
      </w:r>
      <w:r w:rsidRPr="004D0618">
        <w:rPr>
          <w:b/>
        </w:rPr>
        <w:t xml:space="preserve"> anest</w:t>
      </w:r>
      <w:r w:rsidR="00335A45">
        <w:rPr>
          <w:b/>
        </w:rPr>
        <w:t>e</w:t>
      </w:r>
      <w:r w:rsidRPr="004D0618">
        <w:rPr>
          <w:b/>
        </w:rPr>
        <w:t>zie</w:t>
      </w:r>
    </w:p>
    <w:p w14:paraId="0ED61C16" w14:textId="77777777" w:rsidR="00CD6B64" w:rsidRPr="004D0618" w:rsidRDefault="00CD6B64" w:rsidP="00CD6B64">
      <w:pPr>
        <w:tabs>
          <w:tab w:val="left" w:pos="0"/>
        </w:tabs>
        <w:rPr>
          <w:u w:val="single"/>
        </w:rPr>
      </w:pPr>
      <w:r>
        <w:rPr>
          <w:u w:val="single"/>
        </w:rPr>
        <w:t>S d</w:t>
      </w:r>
      <w:r w:rsidRPr="004D0618">
        <w:rPr>
          <w:u w:val="single"/>
        </w:rPr>
        <w:t>etomidinem:</w:t>
      </w:r>
    </w:p>
    <w:p w14:paraId="470027A5" w14:textId="2EEDBF47" w:rsidR="00CD6B64" w:rsidRPr="004D0618" w:rsidRDefault="00CD6B64" w:rsidP="00CD6B64">
      <w:pPr>
        <w:tabs>
          <w:tab w:val="left" w:pos="0"/>
        </w:tabs>
        <w:rPr>
          <w:rFonts w:cs="Arial"/>
          <w:szCs w:val="22"/>
        </w:rPr>
      </w:pPr>
      <w:r>
        <w:t>D</w:t>
      </w:r>
      <w:r w:rsidRPr="004D0618">
        <w:t xml:space="preserve">etomidin 20 µg/kg </w:t>
      </w:r>
      <w:bookmarkStart w:id="1" w:name="_Hlk203031485"/>
      <w:r w:rsidR="005E59AF">
        <w:t xml:space="preserve">živé hmotnosti </w:t>
      </w:r>
      <w:bookmarkEnd w:id="1"/>
      <w:r w:rsidRPr="005F3A79">
        <w:t>i.v.</w:t>
      </w:r>
      <w:r w:rsidRPr="004D0618">
        <w:t xml:space="preserve">, </w:t>
      </w:r>
      <w:r w:rsidR="005E59AF">
        <w:t xml:space="preserve">následovaný </w:t>
      </w:r>
      <w:r w:rsidRPr="004D0618">
        <w:t>po 5 minutách</w:t>
      </w:r>
    </w:p>
    <w:p w14:paraId="6BFDD2DC" w14:textId="07AAA4CC" w:rsidR="00CD6B64" w:rsidRPr="004D0618" w:rsidRDefault="00CD6B64" w:rsidP="00CD6B64">
      <w:pPr>
        <w:tabs>
          <w:tab w:val="left" w:pos="0"/>
        </w:tabs>
        <w:rPr>
          <w:rFonts w:cs="Arial"/>
          <w:szCs w:val="22"/>
        </w:rPr>
      </w:pPr>
      <w:r>
        <w:t>k</w:t>
      </w:r>
      <w:r w:rsidRPr="004D0618">
        <w:t>etamin</w:t>
      </w:r>
      <w:r w:rsidR="005E59AF">
        <w:t>em</w:t>
      </w:r>
      <w:r w:rsidRPr="004D0618">
        <w:t xml:space="preserve"> 2,2 mg/kg </w:t>
      </w:r>
      <w:r w:rsidR="005E59AF">
        <w:t xml:space="preserve">živé hmotnosti </w:t>
      </w:r>
      <w:r w:rsidRPr="004D0618">
        <w:t xml:space="preserve">rychlé </w:t>
      </w:r>
      <w:r w:rsidRPr="005F3A79">
        <w:t>i.v.</w:t>
      </w:r>
      <w:r w:rsidRPr="004D0618">
        <w:t xml:space="preserve"> podání (2,2 ml/100 kg</w:t>
      </w:r>
      <w:r w:rsidR="005E59AF">
        <w:t xml:space="preserve"> živé hmotnosti</w:t>
      </w:r>
      <w:r w:rsidRPr="004D0618">
        <w:t>)</w:t>
      </w:r>
      <w:r>
        <w:t>.</w:t>
      </w:r>
    </w:p>
    <w:p w14:paraId="038F2DAC" w14:textId="6CFA0AE8" w:rsidR="00CD6B64" w:rsidRPr="004D0618" w:rsidRDefault="00CD6B64" w:rsidP="00A06E47">
      <w:pPr>
        <w:rPr>
          <w:rFonts w:cs="Arial"/>
          <w:szCs w:val="22"/>
        </w:rPr>
      </w:pPr>
      <w:r w:rsidRPr="004D0618">
        <w:t xml:space="preserve">Nástup účinku je postupný, dosažení </w:t>
      </w:r>
      <w:r w:rsidR="005E59AF">
        <w:t xml:space="preserve">laterální </w:t>
      </w:r>
      <w:r w:rsidRPr="004D0618">
        <w:t>polohy trvá přibližně 1 minut</w:t>
      </w:r>
      <w:r>
        <w:t>u</w:t>
      </w:r>
      <w:r w:rsidRPr="004D0618">
        <w:t xml:space="preserve"> </w:t>
      </w:r>
      <w:r>
        <w:t xml:space="preserve">a </w:t>
      </w:r>
      <w:r w:rsidRPr="004D0618">
        <w:t>trvání anestetického účink</w:t>
      </w:r>
      <w:r>
        <w:t>u</w:t>
      </w:r>
      <w:r w:rsidRPr="004D0618">
        <w:t xml:space="preserve"> </w:t>
      </w:r>
      <w:r>
        <w:t xml:space="preserve">se pohybuje </w:t>
      </w:r>
      <w:r w:rsidRPr="004D0618">
        <w:t xml:space="preserve">přibližně </w:t>
      </w:r>
      <w:r>
        <w:t xml:space="preserve">od </w:t>
      </w:r>
      <w:r w:rsidRPr="004D0618">
        <w:t>10</w:t>
      </w:r>
      <w:r>
        <w:rPr>
          <w:cs/>
        </w:rPr>
        <w:t xml:space="preserve"> </w:t>
      </w:r>
      <w:r w:rsidRPr="00A225FF">
        <w:rPr>
          <w:szCs w:val="22"/>
          <w:cs/>
        </w:rPr>
        <w:t>do</w:t>
      </w:r>
      <w:r>
        <w:rPr>
          <w:cs/>
        </w:rPr>
        <w:t xml:space="preserve"> </w:t>
      </w:r>
      <w:r w:rsidRPr="004D0618">
        <w:t xml:space="preserve">15 minut. </w:t>
      </w:r>
    </w:p>
    <w:p w14:paraId="26D7DAC1" w14:textId="77777777" w:rsidR="00CD6B64" w:rsidRPr="004D0618" w:rsidRDefault="00CD6B64" w:rsidP="00CD6B64">
      <w:pPr>
        <w:tabs>
          <w:tab w:val="left" w:pos="0"/>
        </w:tabs>
      </w:pPr>
    </w:p>
    <w:p w14:paraId="41EFEB97" w14:textId="77777777" w:rsidR="00CD6B64" w:rsidRPr="004D0618" w:rsidRDefault="00CD6B64" w:rsidP="00516BE8">
      <w:pPr>
        <w:keepNext/>
        <w:tabs>
          <w:tab w:val="left" w:pos="0"/>
        </w:tabs>
        <w:rPr>
          <w:u w:val="single"/>
        </w:rPr>
      </w:pPr>
      <w:r>
        <w:rPr>
          <w:u w:val="single"/>
        </w:rPr>
        <w:t>S x</w:t>
      </w:r>
      <w:r w:rsidRPr="004D0618">
        <w:rPr>
          <w:u w:val="single"/>
        </w:rPr>
        <w:t>ylazinem:</w:t>
      </w:r>
    </w:p>
    <w:p w14:paraId="2C2DD2A7" w14:textId="4355F396" w:rsidR="00CD6B64" w:rsidRPr="004D0618" w:rsidRDefault="00CD6B64" w:rsidP="00CD6B64">
      <w:pPr>
        <w:tabs>
          <w:tab w:val="left" w:pos="0"/>
        </w:tabs>
        <w:rPr>
          <w:rFonts w:cs="Arial"/>
          <w:szCs w:val="22"/>
        </w:rPr>
      </w:pPr>
      <w:r>
        <w:t>X</w:t>
      </w:r>
      <w:r w:rsidRPr="004D0618">
        <w:t>ylazin 1,1 mg/kg</w:t>
      </w:r>
      <w:r w:rsidR="005E59AF">
        <w:t xml:space="preserve"> živé hmotnosti</w:t>
      </w:r>
      <w:r w:rsidRPr="004D0618">
        <w:t xml:space="preserve"> </w:t>
      </w:r>
      <w:r w:rsidRPr="005F3A79">
        <w:t>i.v.</w:t>
      </w:r>
      <w:r w:rsidRPr="004D0618">
        <w:t xml:space="preserve"> následovaný</w:t>
      </w:r>
    </w:p>
    <w:p w14:paraId="74F71F7D" w14:textId="5EC9A1E7" w:rsidR="00CD6B64" w:rsidRPr="004D0618" w:rsidRDefault="00CD6B64" w:rsidP="00CD6B64">
      <w:pPr>
        <w:tabs>
          <w:tab w:val="left" w:pos="0"/>
        </w:tabs>
        <w:rPr>
          <w:rFonts w:cs="Arial"/>
          <w:szCs w:val="22"/>
        </w:rPr>
      </w:pPr>
      <w:r>
        <w:t>k</w:t>
      </w:r>
      <w:r w:rsidRPr="004D0618">
        <w:t>etamin</w:t>
      </w:r>
      <w:r>
        <w:t>em</w:t>
      </w:r>
      <w:r w:rsidRPr="004D0618">
        <w:t xml:space="preserve"> 2,2 mg/kg </w:t>
      </w:r>
      <w:r w:rsidR="005E59AF">
        <w:t xml:space="preserve">živé hmotnosti </w:t>
      </w:r>
      <w:r w:rsidRPr="005F3A79">
        <w:t>i.v.</w:t>
      </w:r>
      <w:r w:rsidRPr="004D0618">
        <w:t xml:space="preserve"> (2,2 ml/100 kg</w:t>
      </w:r>
      <w:r w:rsidR="005E59AF">
        <w:t xml:space="preserve"> živé hmotnosti</w:t>
      </w:r>
      <w:r w:rsidRPr="004D0618">
        <w:t>)</w:t>
      </w:r>
      <w:r>
        <w:t>.</w:t>
      </w:r>
    </w:p>
    <w:p w14:paraId="478001E9" w14:textId="1446ED82" w:rsidR="00CD6B64" w:rsidRPr="004D0618" w:rsidRDefault="00CD6B64" w:rsidP="00A06E47">
      <w:pPr>
        <w:rPr>
          <w:rFonts w:cs="Arial"/>
          <w:szCs w:val="22"/>
        </w:rPr>
      </w:pPr>
      <w:r w:rsidRPr="004D0618">
        <w:t xml:space="preserve">Nástup účinku je postupný, trvá přibližně 1 minutu, </w:t>
      </w:r>
      <w:r>
        <w:t>trvání</w:t>
      </w:r>
      <w:r w:rsidRPr="004D0618">
        <w:t xml:space="preserve"> anestetického účinku je </w:t>
      </w:r>
      <w:r w:rsidR="005E59AF">
        <w:t>variabilní</w:t>
      </w:r>
      <w:r w:rsidR="005E59AF" w:rsidRPr="004D0618">
        <w:t xml:space="preserve"> </w:t>
      </w:r>
      <w:r w:rsidRPr="004D0618">
        <w:t xml:space="preserve">a </w:t>
      </w:r>
      <w:r>
        <w:t xml:space="preserve">pohybuje se od </w:t>
      </w:r>
      <w:r w:rsidRPr="004D0618">
        <w:t>10</w:t>
      </w:r>
      <w:r>
        <w:t xml:space="preserve"> </w:t>
      </w:r>
      <w:r w:rsidRPr="00A225FF">
        <w:rPr>
          <w:szCs w:val="22"/>
          <w:cs/>
        </w:rPr>
        <w:t>do</w:t>
      </w:r>
      <w:r>
        <w:rPr>
          <w:cs/>
        </w:rPr>
        <w:t xml:space="preserve"> </w:t>
      </w:r>
      <w:r w:rsidRPr="004D0618">
        <w:t xml:space="preserve">30 minut, ale obvykle </w:t>
      </w:r>
      <w:r w:rsidR="005E59AF">
        <w:t>trvá</w:t>
      </w:r>
      <w:r>
        <w:t xml:space="preserve"> </w:t>
      </w:r>
      <w:r w:rsidRPr="004D0618">
        <w:t>méně než 20 minut.</w:t>
      </w:r>
    </w:p>
    <w:p w14:paraId="14D61918" w14:textId="77777777" w:rsidR="00CD6B64" w:rsidRPr="004D0618" w:rsidRDefault="00CD6B64" w:rsidP="00CD6B64">
      <w:pPr>
        <w:tabs>
          <w:tab w:val="left" w:pos="0"/>
        </w:tabs>
        <w:rPr>
          <w:rFonts w:cs="Arial"/>
          <w:szCs w:val="22"/>
        </w:rPr>
      </w:pPr>
    </w:p>
    <w:p w14:paraId="748D7233" w14:textId="77777777" w:rsidR="00CD6B64" w:rsidRPr="004D0618" w:rsidRDefault="00CD6B64" w:rsidP="00A06E47">
      <w:pPr>
        <w:rPr>
          <w:rFonts w:cs="Arial"/>
          <w:szCs w:val="22"/>
        </w:rPr>
      </w:pPr>
      <w:r w:rsidRPr="004D0618">
        <w:t>Po</w:t>
      </w:r>
      <w:r>
        <w:t xml:space="preserve"> injekčním podání kůň</w:t>
      </w:r>
      <w:r w:rsidRPr="004D0618">
        <w:t xml:space="preserve"> spontánně ulehne bez jakékoliv další pomoci. Pokud se souběžně požaduje relaxace jasně vybraného svalu, lze ležícímu zvířeti podávat svalová relaxancia, dokud se u koně neobjeví první příznaky relaxace.</w:t>
      </w:r>
    </w:p>
    <w:p w14:paraId="71630F7A" w14:textId="77777777" w:rsidR="00CD6B64" w:rsidRPr="004D0618" w:rsidRDefault="00CD6B64" w:rsidP="00CD6B64">
      <w:pPr>
        <w:tabs>
          <w:tab w:val="left" w:pos="0"/>
        </w:tabs>
        <w:rPr>
          <w:rFonts w:cs="Arial"/>
          <w:szCs w:val="22"/>
        </w:rPr>
      </w:pPr>
      <w:r w:rsidRPr="004D0618">
        <w:t xml:space="preserve"> </w:t>
      </w:r>
    </w:p>
    <w:p w14:paraId="0055AC64" w14:textId="00126142" w:rsidR="00CD6B64" w:rsidRPr="00DC108F" w:rsidRDefault="00CD6B64" w:rsidP="00CD6B64">
      <w:pPr>
        <w:tabs>
          <w:tab w:val="left" w:pos="0"/>
        </w:tabs>
        <w:rPr>
          <w:b/>
          <w:u w:val="single"/>
        </w:rPr>
      </w:pPr>
      <w:r w:rsidRPr="00DC108F">
        <w:rPr>
          <w:b/>
          <w:u w:val="single"/>
        </w:rPr>
        <w:t>S</w:t>
      </w:r>
      <w:r w:rsidR="00214AE3" w:rsidRPr="00DC108F">
        <w:rPr>
          <w:b/>
          <w:u w:val="single"/>
        </w:rPr>
        <w:t>kot</w:t>
      </w:r>
    </w:p>
    <w:p w14:paraId="71C32F8C" w14:textId="218EEDD8" w:rsidR="00CD6B64" w:rsidRPr="004D0618" w:rsidRDefault="005E59AF" w:rsidP="00A06E47">
      <w:r>
        <w:t>Doporučuje se p</w:t>
      </w:r>
      <w:r w:rsidR="00CD6B64" w:rsidRPr="004D0618">
        <w:t xml:space="preserve">remedikace sedativy, aby se předešlo nekontrolovanému ulehnutí a případným příznakům excitace, nebo pro potenciaci účinku anestetik. Nasální trubicí lze podávat kyslík, aby nedošlo k hypoxii </w:t>
      </w:r>
      <w:r>
        <w:t xml:space="preserve">z důvodu </w:t>
      </w:r>
      <w:r w:rsidR="00CD6B64" w:rsidRPr="004D0618">
        <w:t>laterální nebo dorsální polo</w:t>
      </w:r>
      <w:r>
        <w:t>hy</w:t>
      </w:r>
      <w:r w:rsidR="00CD6B64" w:rsidRPr="004D0618">
        <w:t>.</w:t>
      </w:r>
    </w:p>
    <w:p w14:paraId="6804090A" w14:textId="77777777" w:rsidR="00CD6B64" w:rsidRPr="004D0618" w:rsidRDefault="00CD6B64" w:rsidP="00CD6B64">
      <w:pPr>
        <w:tabs>
          <w:tab w:val="left" w:pos="0"/>
        </w:tabs>
        <w:rPr>
          <w:szCs w:val="22"/>
        </w:rPr>
      </w:pPr>
    </w:p>
    <w:p w14:paraId="7DDBC488" w14:textId="03474267" w:rsidR="00CD6B64" w:rsidRPr="004D0618" w:rsidRDefault="00CD6B64" w:rsidP="00CD6B64">
      <w:pPr>
        <w:tabs>
          <w:tab w:val="left" w:pos="0"/>
        </w:tabs>
        <w:rPr>
          <w:szCs w:val="22"/>
        </w:rPr>
      </w:pPr>
      <w:r>
        <w:rPr>
          <w:b/>
        </w:rPr>
        <w:t xml:space="preserve">Navození </w:t>
      </w:r>
      <w:r w:rsidRPr="004D0618">
        <w:rPr>
          <w:b/>
        </w:rPr>
        <w:t>anest</w:t>
      </w:r>
      <w:r w:rsidR="005E59AF">
        <w:rPr>
          <w:b/>
        </w:rPr>
        <w:t>e</w:t>
      </w:r>
      <w:r w:rsidRPr="004D0618">
        <w:rPr>
          <w:b/>
        </w:rPr>
        <w:t>zie</w:t>
      </w:r>
    </w:p>
    <w:p w14:paraId="730F97EE" w14:textId="77777777" w:rsidR="00CD6B64" w:rsidRPr="004D0618" w:rsidRDefault="00CD6B64" w:rsidP="00CD6B64">
      <w:pPr>
        <w:rPr>
          <w:u w:val="single"/>
        </w:rPr>
      </w:pPr>
      <w:r>
        <w:rPr>
          <w:u w:val="single"/>
        </w:rPr>
        <w:t>S x</w:t>
      </w:r>
      <w:r w:rsidRPr="004D0618">
        <w:rPr>
          <w:u w:val="single"/>
        </w:rPr>
        <w:t>ylazinem</w:t>
      </w:r>
    </w:p>
    <w:p w14:paraId="38446F7C" w14:textId="02282FE1" w:rsidR="00CD6B64" w:rsidRPr="004D0618" w:rsidRDefault="00CD6B64" w:rsidP="00CD6B64">
      <w:pPr>
        <w:rPr>
          <w:rFonts w:cs="Arial"/>
          <w:szCs w:val="22"/>
        </w:rPr>
      </w:pPr>
      <w:r>
        <w:t>X</w:t>
      </w:r>
      <w:r w:rsidRPr="004D0618">
        <w:t>ylazin 0,14</w:t>
      </w:r>
      <w:r w:rsidRPr="004D0618">
        <w:rPr>
          <w:cs/>
        </w:rPr>
        <w:t>–</w:t>
      </w:r>
      <w:r w:rsidRPr="004D0618">
        <w:t>0,22 mg/kg</w:t>
      </w:r>
      <w:r w:rsidR="005E59AF">
        <w:t xml:space="preserve"> živé hmotnosti</w:t>
      </w:r>
      <w:r w:rsidRPr="004D0618">
        <w:t xml:space="preserve"> </w:t>
      </w:r>
      <w:r w:rsidRPr="005F3A79">
        <w:t>i.v./i.m.</w:t>
      </w:r>
      <w:r w:rsidRPr="004D0618">
        <w:t xml:space="preserve"> následovaný</w:t>
      </w:r>
    </w:p>
    <w:p w14:paraId="3475C2C9" w14:textId="3A165DEA" w:rsidR="00CD6B64" w:rsidRPr="004D0618" w:rsidRDefault="00CD6B64" w:rsidP="00CD6B64">
      <w:pPr>
        <w:rPr>
          <w:rFonts w:cs="Arial"/>
          <w:szCs w:val="22"/>
        </w:rPr>
      </w:pPr>
      <w:r>
        <w:t>k</w:t>
      </w:r>
      <w:r w:rsidRPr="004D0618">
        <w:t>etamin</w:t>
      </w:r>
      <w:r>
        <w:t>em</w:t>
      </w:r>
      <w:r w:rsidRPr="004D0618">
        <w:t xml:space="preserve"> 2</w:t>
      </w:r>
      <w:r w:rsidRPr="004D0618">
        <w:rPr>
          <w:cs/>
        </w:rPr>
        <w:t>–</w:t>
      </w:r>
      <w:r w:rsidRPr="004D0618">
        <w:t xml:space="preserve">5 mg/kg </w:t>
      </w:r>
      <w:r w:rsidR="005E59AF">
        <w:t xml:space="preserve">živé hmotnosti </w:t>
      </w:r>
      <w:r w:rsidRPr="005F3A79">
        <w:t>i.v.</w:t>
      </w:r>
      <w:r w:rsidRPr="004D0618">
        <w:t xml:space="preserve"> (2</w:t>
      </w:r>
      <w:r w:rsidRPr="004D0618">
        <w:rPr>
          <w:cs/>
        </w:rPr>
        <w:t>–</w:t>
      </w:r>
      <w:r w:rsidRPr="004D0618">
        <w:t>5 ml/100 kg</w:t>
      </w:r>
      <w:r w:rsidR="005E59AF">
        <w:t xml:space="preserve"> živé hmotnosti</w:t>
      </w:r>
      <w:r w:rsidRPr="004D0618">
        <w:t>)</w:t>
      </w:r>
      <w:r>
        <w:t>.</w:t>
      </w:r>
    </w:p>
    <w:p w14:paraId="24BE7196" w14:textId="77777777" w:rsidR="00CD6B64" w:rsidRPr="004D0618" w:rsidRDefault="00CD6B64" w:rsidP="00CD6B64">
      <w:pPr>
        <w:rPr>
          <w:rFonts w:cs="Arial"/>
          <w:szCs w:val="22"/>
        </w:rPr>
      </w:pPr>
      <w:r w:rsidRPr="004D0618">
        <w:t>Nástup účinku trvá přibližně 1 minutu při dosažení anestetického účinku trvajícího přibližně 30 minut.</w:t>
      </w:r>
    </w:p>
    <w:p w14:paraId="391855CB" w14:textId="77777777" w:rsidR="00CD6B64" w:rsidRPr="004D0618" w:rsidRDefault="00CD6B64" w:rsidP="00CD6B64">
      <w:pPr>
        <w:rPr>
          <w:rFonts w:cs="Arial"/>
          <w:szCs w:val="22"/>
        </w:rPr>
      </w:pPr>
    </w:p>
    <w:p w14:paraId="75A01F77" w14:textId="77777777" w:rsidR="00CD6B64" w:rsidRPr="004D0618" w:rsidRDefault="00CD6B64" w:rsidP="00CD6B64">
      <w:pPr>
        <w:rPr>
          <w:rFonts w:cs="Arial"/>
          <w:szCs w:val="22"/>
        </w:rPr>
      </w:pPr>
      <w:r w:rsidRPr="004D0618">
        <w:t>Při podávání xylazinu intravenózn</w:t>
      </w:r>
      <w:r>
        <w:t>ě</w:t>
      </w:r>
      <w:r w:rsidRPr="004D0618">
        <w:t xml:space="preserve"> je třeba používat </w:t>
      </w:r>
      <w:r>
        <w:t>spodní hranici</w:t>
      </w:r>
      <w:r w:rsidRPr="004D0618">
        <w:t xml:space="preserve"> uvedeného rozpětí dávek.</w:t>
      </w:r>
    </w:p>
    <w:p w14:paraId="1AE40674" w14:textId="77777777" w:rsidR="00CD6B64" w:rsidRPr="004D0618" w:rsidRDefault="00CD6B64" w:rsidP="00CD6B64"/>
    <w:p w14:paraId="5CC64923" w14:textId="5FCB0F1B" w:rsidR="00CD6B64" w:rsidRPr="00DC108F" w:rsidRDefault="00CD6B64" w:rsidP="00DC108F">
      <w:pPr>
        <w:rPr>
          <w:b/>
          <w:u w:val="single"/>
        </w:rPr>
      </w:pPr>
      <w:r w:rsidRPr="00DC108F">
        <w:rPr>
          <w:b/>
          <w:u w:val="single"/>
        </w:rPr>
        <w:t>P</w:t>
      </w:r>
      <w:r w:rsidR="00214AE3" w:rsidRPr="00DC108F">
        <w:rPr>
          <w:b/>
          <w:u w:val="single"/>
        </w:rPr>
        <w:t>rasata</w:t>
      </w:r>
    </w:p>
    <w:p w14:paraId="3DF0A6FF" w14:textId="0C0F66AA" w:rsidR="00CD6B64" w:rsidRPr="004D0618" w:rsidRDefault="00CD6B64" w:rsidP="00CD6B64">
      <w:pPr>
        <w:rPr>
          <w:rFonts w:cs="Arial"/>
          <w:b/>
          <w:szCs w:val="22"/>
        </w:rPr>
      </w:pPr>
      <w:r>
        <w:rPr>
          <w:b/>
        </w:rPr>
        <w:t>Navození</w:t>
      </w:r>
      <w:r w:rsidRPr="004D0618">
        <w:rPr>
          <w:b/>
        </w:rPr>
        <w:t xml:space="preserve"> anest</w:t>
      </w:r>
      <w:r w:rsidR="005E59AF">
        <w:rPr>
          <w:b/>
        </w:rPr>
        <w:t>e</w:t>
      </w:r>
      <w:r w:rsidRPr="004D0618">
        <w:rPr>
          <w:b/>
        </w:rPr>
        <w:t>zie</w:t>
      </w:r>
    </w:p>
    <w:p w14:paraId="544351F6" w14:textId="77777777" w:rsidR="00CD6B64" w:rsidRPr="004D0618" w:rsidRDefault="00CD6B64" w:rsidP="00CD6B64">
      <w:pPr>
        <w:rPr>
          <w:rFonts w:cs="Arial"/>
          <w:szCs w:val="22"/>
        </w:rPr>
      </w:pPr>
      <w:r>
        <w:rPr>
          <w:u w:val="single"/>
        </w:rPr>
        <w:t>S a</w:t>
      </w:r>
      <w:r w:rsidRPr="004D0618">
        <w:rPr>
          <w:u w:val="single"/>
        </w:rPr>
        <w:t>zaperonem</w:t>
      </w:r>
      <w:r w:rsidRPr="004D0618">
        <w:t xml:space="preserve"> </w:t>
      </w:r>
    </w:p>
    <w:p w14:paraId="35AC3597" w14:textId="45E248CC" w:rsidR="00CD6B64" w:rsidRPr="004D0618" w:rsidRDefault="00CD6B64" w:rsidP="00CD6B64">
      <w:pPr>
        <w:rPr>
          <w:rFonts w:cs="Arial"/>
          <w:szCs w:val="22"/>
        </w:rPr>
      </w:pPr>
      <w:r>
        <w:t>K</w:t>
      </w:r>
      <w:r w:rsidRPr="004D0618">
        <w:t>etamin 15</w:t>
      </w:r>
      <w:r w:rsidRPr="004D0618">
        <w:rPr>
          <w:cs/>
        </w:rPr>
        <w:t>–</w:t>
      </w:r>
      <w:r w:rsidRPr="004D0618">
        <w:t>20 mg/kg</w:t>
      </w:r>
      <w:r w:rsidR="005E59AF">
        <w:t xml:space="preserve"> živé hmotnosti</w:t>
      </w:r>
      <w:r w:rsidRPr="004D0618">
        <w:t xml:space="preserve"> </w:t>
      </w:r>
      <w:r w:rsidRPr="005F3A79">
        <w:t>i.m.</w:t>
      </w:r>
      <w:r w:rsidRPr="004D0618">
        <w:t xml:space="preserve"> (1,5</w:t>
      </w:r>
      <w:r w:rsidRPr="004D0618">
        <w:rPr>
          <w:cs/>
        </w:rPr>
        <w:t>–</w:t>
      </w:r>
      <w:r w:rsidRPr="004D0618">
        <w:t>2 ml/10 kg</w:t>
      </w:r>
      <w:r w:rsidR="005E59AF">
        <w:t xml:space="preserve"> živé hmotnosti</w:t>
      </w:r>
      <w:r w:rsidRPr="004D0618">
        <w:t>)</w:t>
      </w:r>
      <w:r w:rsidR="00F117C1">
        <w:t xml:space="preserve"> </w:t>
      </w:r>
      <w:r w:rsidRPr="004D0618">
        <w:t>a 2 mg/kg</w:t>
      </w:r>
      <w:r w:rsidR="005E59AF">
        <w:t xml:space="preserve"> živé hmotnosti </w:t>
      </w:r>
      <w:proofErr w:type="spellStart"/>
      <w:r w:rsidRPr="004D0618">
        <w:t>azaperonu</w:t>
      </w:r>
      <w:proofErr w:type="spellEnd"/>
      <w:r w:rsidRPr="004D0618">
        <w:t xml:space="preserve"> </w:t>
      </w:r>
      <w:proofErr w:type="spellStart"/>
      <w:r w:rsidRPr="005F3A79">
        <w:t>i.m</w:t>
      </w:r>
      <w:proofErr w:type="spellEnd"/>
      <w:r w:rsidRPr="005F3A79">
        <w:t>.</w:t>
      </w:r>
    </w:p>
    <w:p w14:paraId="2A90B8EC" w14:textId="6262299E" w:rsidR="00CD6B64" w:rsidRPr="004D0618" w:rsidRDefault="00CD6B64" w:rsidP="00A06E47">
      <w:pPr>
        <w:pStyle w:val="Textkomente"/>
        <w:rPr>
          <w:sz w:val="22"/>
          <w:szCs w:val="22"/>
        </w:rPr>
      </w:pPr>
      <w:r w:rsidRPr="004D0618">
        <w:rPr>
          <w:sz w:val="22"/>
        </w:rPr>
        <w:t>U prasat ve věku 4</w:t>
      </w:r>
      <w:r w:rsidRPr="004D0618">
        <w:rPr>
          <w:sz w:val="22"/>
          <w:cs/>
        </w:rPr>
        <w:t>–</w:t>
      </w:r>
      <w:r w:rsidRPr="004D0618">
        <w:rPr>
          <w:sz w:val="22"/>
        </w:rPr>
        <w:t xml:space="preserve">5 měsíců </w:t>
      </w:r>
      <w:r w:rsidR="005E59AF" w:rsidRPr="004D0618">
        <w:rPr>
          <w:sz w:val="22"/>
        </w:rPr>
        <w:t>po podání 2 mg/kg</w:t>
      </w:r>
      <w:r w:rsidR="005E59AF">
        <w:rPr>
          <w:sz w:val="22"/>
        </w:rPr>
        <w:t xml:space="preserve"> </w:t>
      </w:r>
      <w:r w:rsidR="005E59AF" w:rsidRPr="00ED3F3A">
        <w:rPr>
          <w:sz w:val="22"/>
        </w:rPr>
        <w:t>živé hmotnosti</w:t>
      </w:r>
      <w:r w:rsidR="005E59AF" w:rsidRPr="00ED3F3A">
        <w:rPr>
          <w:sz w:val="24"/>
        </w:rPr>
        <w:t xml:space="preserve"> </w:t>
      </w:r>
      <w:proofErr w:type="spellStart"/>
      <w:r w:rsidR="005E59AF" w:rsidRPr="004D0618">
        <w:rPr>
          <w:sz w:val="22"/>
        </w:rPr>
        <w:t>azaperonu</w:t>
      </w:r>
      <w:proofErr w:type="spellEnd"/>
      <w:r w:rsidR="005E59AF" w:rsidRPr="004D0618">
        <w:rPr>
          <w:sz w:val="22"/>
        </w:rPr>
        <w:t xml:space="preserve"> a 20 mg/kg </w:t>
      </w:r>
      <w:r w:rsidR="005E59AF" w:rsidRPr="00ED3F3A">
        <w:rPr>
          <w:sz w:val="22"/>
        </w:rPr>
        <w:t xml:space="preserve">živé hmotnosti </w:t>
      </w:r>
      <w:r w:rsidR="005E59AF" w:rsidRPr="004D0618">
        <w:rPr>
          <w:sz w:val="22"/>
        </w:rPr>
        <w:t xml:space="preserve">ketaminu </w:t>
      </w:r>
      <w:r w:rsidR="005E59AF" w:rsidRPr="005F3A79">
        <w:rPr>
          <w:sz w:val="22"/>
        </w:rPr>
        <w:t>i.m.</w:t>
      </w:r>
      <w:r w:rsidR="00335A45">
        <w:rPr>
          <w:sz w:val="22"/>
        </w:rPr>
        <w:t xml:space="preserve"> </w:t>
      </w:r>
      <w:r w:rsidRPr="004D0618">
        <w:rPr>
          <w:sz w:val="22"/>
        </w:rPr>
        <w:t>trval nástup anest</w:t>
      </w:r>
      <w:r w:rsidR="005E59AF">
        <w:rPr>
          <w:sz w:val="22"/>
        </w:rPr>
        <w:t>e</w:t>
      </w:r>
      <w:r w:rsidRPr="004D0618">
        <w:rPr>
          <w:sz w:val="22"/>
        </w:rPr>
        <w:t xml:space="preserve">zie průměrně 29 minut a trvání účinku </w:t>
      </w:r>
      <w:r>
        <w:rPr>
          <w:sz w:val="22"/>
        </w:rPr>
        <w:t>bylo</w:t>
      </w:r>
      <w:r w:rsidRPr="004D0618">
        <w:rPr>
          <w:sz w:val="22"/>
        </w:rPr>
        <w:t xml:space="preserve"> přibližně 27 minut</w:t>
      </w:r>
      <w:r w:rsidR="005E59AF">
        <w:rPr>
          <w:sz w:val="22"/>
        </w:rPr>
        <w:t>.</w:t>
      </w:r>
      <w:r w:rsidRPr="004D0618">
        <w:rPr>
          <w:sz w:val="22"/>
        </w:rPr>
        <w:t xml:space="preserve"> </w:t>
      </w:r>
    </w:p>
    <w:p w14:paraId="0D131220" w14:textId="77777777" w:rsidR="00CD6B64" w:rsidRPr="004D0618" w:rsidRDefault="00CD6B64" w:rsidP="00CD6B64"/>
    <w:p w14:paraId="2FAB07AE" w14:textId="6AE36D0F" w:rsidR="00CD6B64" w:rsidRPr="00DC108F" w:rsidRDefault="00CD6B64" w:rsidP="00CD6B64">
      <w:pPr>
        <w:rPr>
          <w:b/>
          <w:u w:val="single"/>
        </w:rPr>
      </w:pPr>
      <w:r w:rsidRPr="00DC108F">
        <w:rPr>
          <w:b/>
          <w:u w:val="single"/>
        </w:rPr>
        <w:t>P</w:t>
      </w:r>
      <w:r w:rsidR="00214AE3" w:rsidRPr="00DC108F">
        <w:rPr>
          <w:b/>
          <w:u w:val="single"/>
        </w:rPr>
        <w:t>si</w:t>
      </w:r>
      <w:r w:rsidRPr="00DC108F">
        <w:rPr>
          <w:b/>
          <w:u w:val="single"/>
        </w:rPr>
        <w:t xml:space="preserve"> </w:t>
      </w:r>
    </w:p>
    <w:p w14:paraId="4F525E93" w14:textId="77777777" w:rsidR="00CD6B64" w:rsidRPr="004D0618" w:rsidRDefault="00CD6B64" w:rsidP="00A06E47">
      <w:r w:rsidRPr="004D0618">
        <w:t>Ketamin nelze použít jako monoanestetikum u psů, protože způsobuje zvýšený svalový tonus a nekoordinované svalové kontrakce.</w:t>
      </w:r>
    </w:p>
    <w:p w14:paraId="2603085E" w14:textId="77777777" w:rsidR="00D029D1" w:rsidRPr="004D0618" w:rsidRDefault="00D029D1" w:rsidP="00CD6B64">
      <w:pPr>
        <w:rPr>
          <w:szCs w:val="22"/>
        </w:rPr>
      </w:pPr>
    </w:p>
    <w:p w14:paraId="5D64C541" w14:textId="31DBD069" w:rsidR="00CD6B64" w:rsidRPr="004D0618" w:rsidRDefault="00CD6B64" w:rsidP="00CD6B64">
      <w:pPr>
        <w:rPr>
          <w:b/>
        </w:rPr>
      </w:pPr>
      <w:r>
        <w:rPr>
          <w:b/>
        </w:rPr>
        <w:t>Navození</w:t>
      </w:r>
      <w:r w:rsidRPr="004D0618">
        <w:rPr>
          <w:b/>
        </w:rPr>
        <w:t xml:space="preserve"> anest</w:t>
      </w:r>
      <w:r w:rsidR="005E59AF">
        <w:rPr>
          <w:b/>
        </w:rPr>
        <w:t>e</w:t>
      </w:r>
      <w:r w:rsidRPr="004D0618">
        <w:rPr>
          <w:b/>
        </w:rPr>
        <w:t>zie</w:t>
      </w:r>
    </w:p>
    <w:p w14:paraId="7DF036E9" w14:textId="77777777" w:rsidR="00CD6B64" w:rsidRPr="004D0618" w:rsidRDefault="00CD6B64" w:rsidP="00CD6B64">
      <w:pPr>
        <w:rPr>
          <w:b/>
        </w:rPr>
      </w:pPr>
      <w:r>
        <w:rPr>
          <w:u w:val="single"/>
        </w:rPr>
        <w:t>S m</w:t>
      </w:r>
      <w:r w:rsidRPr="004D0618">
        <w:rPr>
          <w:u w:val="single"/>
        </w:rPr>
        <w:t>edetomidinem</w:t>
      </w:r>
    </w:p>
    <w:p w14:paraId="037782DB" w14:textId="7C291AED" w:rsidR="00CD6B64" w:rsidRPr="004D0618" w:rsidRDefault="00CD6B64" w:rsidP="00CD6B64">
      <w:pPr>
        <w:rPr>
          <w:rFonts w:cs="Arial"/>
          <w:szCs w:val="22"/>
        </w:rPr>
      </w:pPr>
      <w:r>
        <w:t>M</w:t>
      </w:r>
      <w:r w:rsidRPr="004D0618">
        <w:t xml:space="preserve">edetomidin 40 µg/kg </w:t>
      </w:r>
      <w:r w:rsidR="005E59AF">
        <w:t xml:space="preserve">živé hmotnosti </w:t>
      </w:r>
      <w:r w:rsidRPr="00AD24BE">
        <w:t>i.m.</w:t>
      </w:r>
      <w:r w:rsidRPr="004D0618">
        <w:t xml:space="preserve"> následovaný</w:t>
      </w:r>
    </w:p>
    <w:p w14:paraId="1AE3C8ED" w14:textId="309000B2" w:rsidR="00CD6B64" w:rsidRPr="004D0618" w:rsidRDefault="00CD6B64" w:rsidP="00CD6B64">
      <w:pPr>
        <w:rPr>
          <w:rFonts w:cs="Arial"/>
          <w:szCs w:val="22"/>
        </w:rPr>
      </w:pPr>
      <w:r>
        <w:t>k</w:t>
      </w:r>
      <w:r w:rsidRPr="004D0618">
        <w:t>etaminem 5</w:t>
      </w:r>
      <w:r w:rsidRPr="004D0618">
        <w:rPr>
          <w:cs/>
        </w:rPr>
        <w:t>–</w:t>
      </w:r>
      <w:r w:rsidRPr="004D0618">
        <w:t xml:space="preserve">7,5 mg/kg </w:t>
      </w:r>
      <w:r w:rsidR="005E59AF">
        <w:t xml:space="preserve">živé hmotnosti </w:t>
      </w:r>
      <w:r w:rsidRPr="00AD24BE">
        <w:t>i.m.</w:t>
      </w:r>
      <w:r w:rsidRPr="004D0618">
        <w:t xml:space="preserve"> (0,5</w:t>
      </w:r>
      <w:r w:rsidRPr="004D0618">
        <w:rPr>
          <w:cs/>
        </w:rPr>
        <w:t>–</w:t>
      </w:r>
      <w:r w:rsidRPr="004D0618">
        <w:t>0,75 ml/10 kg</w:t>
      </w:r>
      <w:r w:rsidR="005E59AF" w:rsidRPr="005E59AF">
        <w:t xml:space="preserve"> </w:t>
      </w:r>
      <w:r w:rsidR="005E59AF">
        <w:t>živé hmotnosti</w:t>
      </w:r>
      <w:r w:rsidRPr="004D0618">
        <w:t>)</w:t>
      </w:r>
      <w:r>
        <w:t>.</w:t>
      </w:r>
    </w:p>
    <w:p w14:paraId="2F9FFCDF" w14:textId="77777777" w:rsidR="00CD6B64" w:rsidRPr="004D0618" w:rsidRDefault="00CD6B64" w:rsidP="00CD6B64">
      <w:r>
        <w:t>Trvání</w:t>
      </w:r>
      <w:r w:rsidRPr="004D0618">
        <w:t xml:space="preserve"> účinku se pohybuje od 30</w:t>
      </w:r>
      <w:r>
        <w:t xml:space="preserve"> do </w:t>
      </w:r>
      <w:r w:rsidRPr="004D0618">
        <w:t xml:space="preserve">50 minut a </w:t>
      </w:r>
      <w:r>
        <w:t>zá</w:t>
      </w:r>
      <w:r w:rsidRPr="004D0618">
        <w:t xml:space="preserve">visí </w:t>
      </w:r>
      <w:r>
        <w:t>na</w:t>
      </w:r>
      <w:r w:rsidRPr="004D0618">
        <w:t xml:space="preserve"> dáv</w:t>
      </w:r>
      <w:r>
        <w:t>ce</w:t>
      </w:r>
      <w:r w:rsidRPr="004D0618">
        <w:t>.</w:t>
      </w:r>
    </w:p>
    <w:p w14:paraId="27B4C982" w14:textId="77777777" w:rsidR="00CD6B64" w:rsidRPr="004D0618" w:rsidRDefault="00CD6B64" w:rsidP="00CD6B64"/>
    <w:p w14:paraId="5DA3598A" w14:textId="77777777" w:rsidR="00CD6B64" w:rsidRPr="004D0618" w:rsidRDefault="00CD6B64" w:rsidP="00CD6B64">
      <w:pPr>
        <w:rPr>
          <w:u w:val="single"/>
        </w:rPr>
      </w:pPr>
      <w:r>
        <w:rPr>
          <w:u w:val="single"/>
        </w:rPr>
        <w:t>S x</w:t>
      </w:r>
      <w:r w:rsidRPr="004D0618">
        <w:rPr>
          <w:u w:val="single"/>
        </w:rPr>
        <w:t>ylazinem</w:t>
      </w:r>
    </w:p>
    <w:p w14:paraId="5EAEF0C0" w14:textId="20744410" w:rsidR="00CD6B64" w:rsidRPr="004D0618" w:rsidRDefault="00CD6B64" w:rsidP="00CD6B64">
      <w:pPr>
        <w:rPr>
          <w:rFonts w:cs="Arial"/>
          <w:szCs w:val="22"/>
        </w:rPr>
      </w:pPr>
      <w:r>
        <w:t>X</w:t>
      </w:r>
      <w:r w:rsidRPr="004D0618">
        <w:t>ylazin 2 mg/kg</w:t>
      </w:r>
      <w:r w:rsidR="005E59AF" w:rsidRPr="005E59AF">
        <w:t xml:space="preserve"> </w:t>
      </w:r>
      <w:r w:rsidR="005E59AF">
        <w:t>živé hmotnosti</w:t>
      </w:r>
      <w:r w:rsidRPr="004D0618">
        <w:t xml:space="preserve"> </w:t>
      </w:r>
      <w:r w:rsidRPr="00AD24BE">
        <w:t>i.m.</w:t>
      </w:r>
      <w:r w:rsidRPr="004D0618">
        <w:t>,</w:t>
      </w:r>
      <w:r w:rsidR="005E59AF">
        <w:t xml:space="preserve"> následovaný</w:t>
      </w:r>
      <w:r w:rsidR="00F117C1">
        <w:t xml:space="preserve"> </w:t>
      </w:r>
      <w:r w:rsidRPr="004D0618">
        <w:t>po 10 minutách</w:t>
      </w:r>
    </w:p>
    <w:p w14:paraId="7856EBFC" w14:textId="0DA76E4B" w:rsidR="00CD6B64" w:rsidRPr="004D0618" w:rsidRDefault="00CD6B64" w:rsidP="00CD6B64">
      <w:pPr>
        <w:rPr>
          <w:rFonts w:cs="Arial"/>
          <w:szCs w:val="22"/>
        </w:rPr>
      </w:pPr>
      <w:r>
        <w:t>k</w:t>
      </w:r>
      <w:r w:rsidRPr="004D0618">
        <w:t>etamin</w:t>
      </w:r>
      <w:r w:rsidR="005E59AF">
        <w:t>em</w:t>
      </w:r>
      <w:r w:rsidRPr="004D0618">
        <w:t xml:space="preserve"> 10 mg/kg </w:t>
      </w:r>
      <w:r w:rsidR="005E59AF">
        <w:t xml:space="preserve">živé hmotnosti </w:t>
      </w:r>
      <w:r w:rsidRPr="00AD24BE">
        <w:t>i.m.</w:t>
      </w:r>
      <w:r w:rsidRPr="004D0618">
        <w:t xml:space="preserve"> (1 ml/10 kg</w:t>
      </w:r>
      <w:r w:rsidR="005E59AF">
        <w:t xml:space="preserve"> živé hmotnosti</w:t>
      </w:r>
      <w:r w:rsidRPr="004D0618">
        <w:t>)</w:t>
      </w:r>
      <w:r>
        <w:t>.</w:t>
      </w:r>
    </w:p>
    <w:p w14:paraId="39A81483" w14:textId="652D9F93" w:rsidR="00CD6B64" w:rsidRPr="004D0618" w:rsidRDefault="00CD6B64" w:rsidP="00CD6B64">
      <w:pPr>
        <w:rPr>
          <w:rFonts w:cs="Arial"/>
          <w:szCs w:val="22"/>
        </w:rPr>
      </w:pPr>
      <w:r w:rsidRPr="004D0618">
        <w:t>U psů o hmotnosti nad 25 kg živé hmotnosti snižte dávku xylazinu na 1,3 mg/kg</w:t>
      </w:r>
      <w:r w:rsidR="005E59AF">
        <w:t xml:space="preserve"> živé hmotnosti</w:t>
      </w:r>
      <w:r w:rsidRPr="004D0618">
        <w:t>.</w:t>
      </w:r>
    </w:p>
    <w:p w14:paraId="0027CA13" w14:textId="77777777" w:rsidR="00085994" w:rsidRDefault="00CD6B64" w:rsidP="00085994">
      <w:r w:rsidRPr="004D0618">
        <w:t xml:space="preserve">Nástup účinku je obvykle do 10 minut a </w:t>
      </w:r>
      <w:r>
        <w:t>trvání</w:t>
      </w:r>
      <w:r w:rsidRPr="004D0618">
        <w:t xml:space="preserve"> účinku </w:t>
      </w:r>
      <w:r>
        <w:t xml:space="preserve">je </w:t>
      </w:r>
      <w:r w:rsidRPr="004D0618">
        <w:t>přibližně 30 minut.</w:t>
      </w:r>
      <w:r w:rsidR="00085994" w:rsidRPr="00085994">
        <w:t xml:space="preserve"> </w:t>
      </w:r>
    </w:p>
    <w:p w14:paraId="117FDE46" w14:textId="77777777" w:rsidR="00085994" w:rsidRDefault="00085994" w:rsidP="00085994"/>
    <w:p w14:paraId="717ECCB7" w14:textId="77777777" w:rsidR="00085994" w:rsidRPr="00DC108F" w:rsidRDefault="00085994" w:rsidP="00085994">
      <w:pPr>
        <w:rPr>
          <w:u w:val="single"/>
        </w:rPr>
      </w:pPr>
      <w:r w:rsidRPr="00DC108F">
        <w:rPr>
          <w:u w:val="single"/>
        </w:rPr>
        <w:t>S diazepamem</w:t>
      </w:r>
    </w:p>
    <w:p w14:paraId="013BF7B0" w14:textId="224FB16E" w:rsidR="00214AE3" w:rsidRDefault="00085994" w:rsidP="00085994">
      <w:r>
        <w:t xml:space="preserve">Podejte diazepam 0,25 mg/kg </w:t>
      </w:r>
      <w:r w:rsidR="005E59AF">
        <w:t xml:space="preserve">živé hmotnosti </w:t>
      </w:r>
      <w:r>
        <w:t xml:space="preserve">i.v., bezprostředně poté </w:t>
      </w:r>
    </w:p>
    <w:p w14:paraId="288073E9" w14:textId="459D047F" w:rsidR="00085994" w:rsidRDefault="00085994" w:rsidP="00085994">
      <w:r>
        <w:t xml:space="preserve">ketamin 5 mg/kg </w:t>
      </w:r>
      <w:r w:rsidR="005E59AF">
        <w:t xml:space="preserve">živé hmotnosti </w:t>
      </w:r>
      <w:r>
        <w:t>i.v. (0,5 ml/10 kg</w:t>
      </w:r>
      <w:r w:rsidR="005E59AF">
        <w:t xml:space="preserve"> živé hmotnosti</w:t>
      </w:r>
      <w:r>
        <w:t>).</w:t>
      </w:r>
    </w:p>
    <w:p w14:paraId="62EB7F32" w14:textId="77777777" w:rsidR="00A3220C" w:rsidRPr="00CC1D5A" w:rsidRDefault="00A3220C" w:rsidP="00A3220C">
      <w:pPr>
        <w:rPr>
          <w:lang w:eastAsia="cs-CZ"/>
        </w:rPr>
      </w:pPr>
      <w:r w:rsidRPr="00CC1D5A">
        <w:rPr>
          <w:lang w:eastAsia="cs-CZ"/>
        </w:rPr>
        <w:t>K dosažení systémového účinku se při intravenózním podání doporučuje ketamin aplikovat pomalu.</w:t>
      </w:r>
    </w:p>
    <w:p w14:paraId="7F7B7AED" w14:textId="7239C27F" w:rsidR="00085994" w:rsidRPr="004D0618" w:rsidRDefault="005E59AF" w:rsidP="00085994">
      <w:pPr>
        <w:rPr>
          <w:rFonts w:cs="Arial"/>
          <w:szCs w:val="22"/>
        </w:rPr>
      </w:pPr>
      <w:r>
        <w:t>Je</w:t>
      </w:r>
      <w:r w:rsidR="00720F11" w:rsidRPr="00C923A4">
        <w:t xml:space="preserve"> nutn</w:t>
      </w:r>
      <w:r>
        <w:t>é</w:t>
      </w:r>
      <w:r w:rsidR="00720F11" w:rsidRPr="00C923A4">
        <w:t xml:space="preserve"> použít</w:t>
      </w:r>
      <w:r>
        <w:t xml:space="preserve"> vhodnou premedikaci</w:t>
      </w:r>
      <w:r w:rsidR="00720F11" w:rsidRPr="00C923A4">
        <w:t xml:space="preserve"> </w:t>
      </w:r>
      <w:r w:rsidR="00720F11">
        <w:t>p</w:t>
      </w:r>
      <w:r w:rsidR="00720F11" w:rsidRPr="00C923A4">
        <w:t>ro</w:t>
      </w:r>
      <w:r w:rsidR="00720F11">
        <w:t xml:space="preserve"> zajištění odpovídající sedace </w:t>
      </w:r>
      <w:r w:rsidR="00720F11" w:rsidRPr="00C923A4">
        <w:t>př</w:t>
      </w:r>
      <w:r w:rsidR="00720F11">
        <w:t>ed podáním kombinace diazepamu s ketaminem</w:t>
      </w:r>
      <w:r w:rsidR="00720F11" w:rsidRPr="00C923A4">
        <w:t xml:space="preserve"> a k usnadnění intubace.</w:t>
      </w:r>
      <w:r w:rsidR="00720F11">
        <w:t xml:space="preserve"> </w:t>
      </w:r>
      <w:r w:rsidR="00085994" w:rsidRPr="00A3220C">
        <w:t xml:space="preserve">Optimální dávkování je nutné </w:t>
      </w:r>
      <w:r w:rsidRPr="0056513C">
        <w:t>individu</w:t>
      </w:r>
      <w:r>
        <w:t>álně přizpůsobit</w:t>
      </w:r>
      <w:r w:rsidRPr="0056513C">
        <w:t xml:space="preserve"> </w:t>
      </w:r>
      <w:r w:rsidR="00085994" w:rsidRPr="0056513C">
        <w:t>podle použité premedikace.</w:t>
      </w:r>
      <w:r w:rsidR="00085994">
        <w:t xml:space="preserve"> Průměrná doba trvání účinku je 10–20 minut.</w:t>
      </w:r>
    </w:p>
    <w:p w14:paraId="3F27C72A" w14:textId="77777777" w:rsidR="00CD6B64" w:rsidRPr="004D0618" w:rsidRDefault="00CD6B64" w:rsidP="00CD6B64">
      <w:pPr>
        <w:rPr>
          <w:szCs w:val="22"/>
        </w:rPr>
      </w:pPr>
    </w:p>
    <w:p w14:paraId="741073D7" w14:textId="2CE77D05" w:rsidR="00CD6B64" w:rsidRPr="00DC108F" w:rsidRDefault="00CD6B64" w:rsidP="00516BE8">
      <w:pPr>
        <w:keepNext/>
        <w:rPr>
          <w:b/>
          <w:i/>
          <w:iCs/>
          <w:szCs w:val="22"/>
          <w:u w:val="single"/>
        </w:rPr>
      </w:pPr>
      <w:r w:rsidRPr="00DC108F">
        <w:rPr>
          <w:b/>
          <w:u w:val="single"/>
        </w:rPr>
        <w:t>K</w:t>
      </w:r>
      <w:r w:rsidR="00214AE3" w:rsidRPr="00DC108F">
        <w:rPr>
          <w:b/>
          <w:u w:val="single"/>
        </w:rPr>
        <w:t>očky</w:t>
      </w:r>
    </w:p>
    <w:p w14:paraId="3638FA4A" w14:textId="2C1180E8" w:rsidR="00085994" w:rsidRDefault="00CD6B64" w:rsidP="00085994">
      <w:pPr>
        <w:tabs>
          <w:tab w:val="left" w:pos="0"/>
        </w:tabs>
      </w:pPr>
      <w:r w:rsidRPr="004D0618">
        <w:t>Monoanestetické použití ketaminu je možné, ale doporučuje se kombinovaná anest</w:t>
      </w:r>
      <w:r w:rsidR="00811107">
        <w:t>e</w:t>
      </w:r>
      <w:r w:rsidRPr="004D0618">
        <w:t xml:space="preserve">zie, aby se předešlo nežádoucím psychomotorickým účinkům. </w:t>
      </w:r>
      <w:r w:rsidR="00811107">
        <w:t xml:space="preserve">Samotný </w:t>
      </w:r>
      <w:proofErr w:type="spellStart"/>
      <w:r w:rsidR="00811107">
        <w:t>k</w:t>
      </w:r>
      <w:r w:rsidR="00085994">
        <w:t>etamin</w:t>
      </w:r>
      <w:proofErr w:type="spellEnd"/>
      <w:r w:rsidR="00085994">
        <w:t xml:space="preserve"> je možné po</w:t>
      </w:r>
      <w:r w:rsidR="00720F11">
        <w:t>dat</w:t>
      </w:r>
      <w:r w:rsidR="00085994">
        <w:t xml:space="preserve"> </w:t>
      </w:r>
      <w:r w:rsidR="00720F11">
        <w:t>intravenózně</w:t>
      </w:r>
      <w:r w:rsidR="00085994">
        <w:t xml:space="preserve">, ale doporučenou cestou podání je intramuskulární </w:t>
      </w:r>
      <w:r w:rsidR="00E616EB">
        <w:t>podání</w:t>
      </w:r>
      <w:r w:rsidR="00085994">
        <w:t>.</w:t>
      </w:r>
    </w:p>
    <w:p w14:paraId="42E6B409" w14:textId="368AFD87" w:rsidR="00720F11" w:rsidRPr="004D0618" w:rsidRDefault="00720F11" w:rsidP="00720F11">
      <w:pPr>
        <w:tabs>
          <w:tab w:val="left" w:pos="0"/>
        </w:tabs>
      </w:pPr>
      <w:proofErr w:type="spellStart"/>
      <w:r>
        <w:t>Ketamin</w:t>
      </w:r>
      <w:proofErr w:type="spellEnd"/>
      <w:r>
        <w:t xml:space="preserve"> podávejte při intravenózním podání</w:t>
      </w:r>
      <w:r w:rsidR="00530E42" w:rsidRPr="00530E42">
        <w:t xml:space="preserve"> </w:t>
      </w:r>
      <w:r w:rsidR="00530E42">
        <w:t>pomalu</w:t>
      </w:r>
      <w:r>
        <w:t>.</w:t>
      </w:r>
    </w:p>
    <w:p w14:paraId="27959E3B" w14:textId="77777777" w:rsidR="00CD6B64" w:rsidRPr="004D0618" w:rsidRDefault="00CD6B64" w:rsidP="00CD6B64"/>
    <w:p w14:paraId="31E3F28F" w14:textId="77777777" w:rsidR="00CD6B64" w:rsidRPr="004D0618" w:rsidRDefault="001D1228" w:rsidP="00CD6B64">
      <w:pPr>
        <w:rPr>
          <w:b/>
        </w:rPr>
      </w:pPr>
      <w:r w:rsidRPr="00516BE8">
        <w:rPr>
          <w:b/>
        </w:rPr>
        <w:t>V monoterapii</w:t>
      </w:r>
    </w:p>
    <w:p w14:paraId="10DD2979" w14:textId="0D2CF532" w:rsidR="00CD6B64" w:rsidRPr="004D0618" w:rsidRDefault="00CD6B64" w:rsidP="00CD6B64">
      <w:pPr>
        <w:rPr>
          <w:rFonts w:cs="Arial"/>
          <w:szCs w:val="22"/>
        </w:rPr>
      </w:pPr>
      <w:r w:rsidRPr="004D0618">
        <w:t xml:space="preserve">11 mg/kg </w:t>
      </w:r>
      <w:proofErr w:type="spellStart"/>
      <w:r w:rsidRPr="004D0618">
        <w:t>ketaminu</w:t>
      </w:r>
      <w:proofErr w:type="spellEnd"/>
      <w:r w:rsidRPr="004D0618">
        <w:t xml:space="preserve"> </w:t>
      </w:r>
      <w:r w:rsidR="00811107">
        <w:t xml:space="preserve">živé hmotnosti </w:t>
      </w:r>
      <w:proofErr w:type="spellStart"/>
      <w:r w:rsidRPr="00AD24BE">
        <w:t>i.m</w:t>
      </w:r>
      <w:proofErr w:type="spellEnd"/>
      <w:r w:rsidRPr="00AD24BE">
        <w:t>.</w:t>
      </w:r>
      <w:r w:rsidR="00D029D1">
        <w:t>/</w:t>
      </w:r>
      <w:proofErr w:type="spellStart"/>
      <w:r w:rsidR="00D029D1">
        <w:t>i.v</w:t>
      </w:r>
      <w:proofErr w:type="spellEnd"/>
      <w:r w:rsidR="00D029D1">
        <w:t>.</w:t>
      </w:r>
      <w:r w:rsidRPr="004D0618">
        <w:t xml:space="preserve"> pro mírné znehybnění, </w:t>
      </w:r>
    </w:p>
    <w:p w14:paraId="0F8CD26A" w14:textId="10C727C7" w:rsidR="00CD6B64" w:rsidRPr="004D0618" w:rsidRDefault="00CD6B64" w:rsidP="00CD6B64">
      <w:pPr>
        <w:rPr>
          <w:rFonts w:cs="Arial"/>
          <w:szCs w:val="22"/>
        </w:rPr>
      </w:pPr>
      <w:r w:rsidRPr="004D0618">
        <w:t>22</w:t>
      </w:r>
      <w:r w:rsidRPr="004D0618">
        <w:rPr>
          <w:cs/>
        </w:rPr>
        <w:t>–</w:t>
      </w:r>
      <w:r w:rsidRPr="004D0618">
        <w:t xml:space="preserve">33 mg/kg </w:t>
      </w:r>
      <w:r w:rsidR="00811107">
        <w:t xml:space="preserve">živé hmotnosti </w:t>
      </w:r>
      <w:proofErr w:type="spellStart"/>
      <w:r w:rsidRPr="004D0618">
        <w:t>ketaminu</w:t>
      </w:r>
      <w:proofErr w:type="spellEnd"/>
      <w:r w:rsidRPr="004D0618">
        <w:t xml:space="preserve"> </w:t>
      </w:r>
      <w:proofErr w:type="spellStart"/>
      <w:r w:rsidRPr="00AD24BE">
        <w:t>i.m</w:t>
      </w:r>
      <w:proofErr w:type="spellEnd"/>
      <w:r w:rsidRPr="00AD24BE">
        <w:t>.</w:t>
      </w:r>
      <w:r w:rsidR="00D029D1">
        <w:t>/</w:t>
      </w:r>
      <w:proofErr w:type="spellStart"/>
      <w:r w:rsidR="00D029D1">
        <w:t>i.v</w:t>
      </w:r>
      <w:proofErr w:type="spellEnd"/>
      <w:r w:rsidR="00D029D1">
        <w:t>.</w:t>
      </w:r>
      <w:r w:rsidRPr="004D0618">
        <w:t xml:space="preserve"> pro drobný chirurgický zákrok a znehybnění podrážděných koček.</w:t>
      </w:r>
    </w:p>
    <w:p w14:paraId="2870DC9D" w14:textId="3C826166" w:rsidR="00CD6B64" w:rsidRPr="004D0618" w:rsidRDefault="00085994" w:rsidP="00A06E47">
      <w:r>
        <w:t xml:space="preserve">Doba trvání </w:t>
      </w:r>
      <w:proofErr w:type="spellStart"/>
      <w:r>
        <w:t>ketaminové</w:t>
      </w:r>
      <w:proofErr w:type="spellEnd"/>
      <w:r>
        <w:t xml:space="preserve"> anest</w:t>
      </w:r>
      <w:r w:rsidR="00811107">
        <w:t>e</w:t>
      </w:r>
      <w:r>
        <w:t>zie je 20–40 minut a zotavení probíhá v období 1–4 hodin.</w:t>
      </w:r>
    </w:p>
    <w:p w14:paraId="0CCC3E0B" w14:textId="77777777" w:rsidR="00CD6B64" w:rsidRPr="004D0618" w:rsidRDefault="00CD6B64" w:rsidP="00CD6B64"/>
    <w:p w14:paraId="1274D8A8" w14:textId="3871D4F5" w:rsidR="00CD6B64" w:rsidRPr="004D0618" w:rsidRDefault="00CD6B64" w:rsidP="00CD6B64">
      <w:pPr>
        <w:rPr>
          <w:b/>
        </w:rPr>
      </w:pPr>
      <w:r>
        <w:rPr>
          <w:b/>
        </w:rPr>
        <w:t>Navození</w:t>
      </w:r>
      <w:r w:rsidRPr="004D0618">
        <w:rPr>
          <w:b/>
        </w:rPr>
        <w:t xml:space="preserve"> anest</w:t>
      </w:r>
      <w:r w:rsidR="00811107">
        <w:rPr>
          <w:b/>
        </w:rPr>
        <w:t>e</w:t>
      </w:r>
      <w:r w:rsidRPr="004D0618">
        <w:rPr>
          <w:b/>
        </w:rPr>
        <w:t>zie (anest</w:t>
      </w:r>
      <w:r w:rsidR="00811107">
        <w:rPr>
          <w:b/>
        </w:rPr>
        <w:t>e</w:t>
      </w:r>
      <w:r w:rsidRPr="004D0618">
        <w:rPr>
          <w:b/>
        </w:rPr>
        <w:t>zie &lt;1 hodina)</w:t>
      </w:r>
    </w:p>
    <w:p w14:paraId="27A86266" w14:textId="77777777" w:rsidR="00CD6B64" w:rsidRPr="004D0618" w:rsidRDefault="00CD6B64" w:rsidP="00CD6B64">
      <w:pPr>
        <w:rPr>
          <w:u w:val="single"/>
        </w:rPr>
      </w:pPr>
      <w:r>
        <w:rPr>
          <w:u w:val="single"/>
        </w:rPr>
        <w:t>S m</w:t>
      </w:r>
      <w:r w:rsidRPr="004D0618">
        <w:rPr>
          <w:u w:val="single"/>
        </w:rPr>
        <w:t>edetomidinem</w:t>
      </w:r>
    </w:p>
    <w:p w14:paraId="01D3B3D5" w14:textId="3CCFD406" w:rsidR="00CD6B64" w:rsidRPr="004D0618" w:rsidRDefault="00CD6B64" w:rsidP="00CD6B64">
      <w:r>
        <w:t>M</w:t>
      </w:r>
      <w:r w:rsidRPr="004D0618">
        <w:t>edetomidin 80 µg/kg</w:t>
      </w:r>
      <w:r w:rsidR="00811107">
        <w:t xml:space="preserve"> živé hmotnosti</w:t>
      </w:r>
      <w:r w:rsidRPr="004D0618">
        <w:t xml:space="preserve"> </w:t>
      </w:r>
      <w:r w:rsidRPr="00AD24BE">
        <w:t>i.m.</w:t>
      </w:r>
      <w:r w:rsidRPr="004D0618">
        <w:t xml:space="preserve"> následovaný</w:t>
      </w:r>
    </w:p>
    <w:p w14:paraId="31A69E83" w14:textId="11CFC8AF" w:rsidR="00CD6B64" w:rsidRPr="004D0618" w:rsidRDefault="00CD6B64" w:rsidP="00CD6B64">
      <w:r>
        <w:t>k</w:t>
      </w:r>
      <w:r w:rsidRPr="004D0618">
        <w:t>etaminem 5</w:t>
      </w:r>
      <w:r w:rsidRPr="004D0618">
        <w:rPr>
          <w:cs/>
        </w:rPr>
        <w:t>–</w:t>
      </w:r>
      <w:r w:rsidRPr="004D0618">
        <w:t xml:space="preserve">7,5 mg/kg </w:t>
      </w:r>
      <w:r w:rsidR="00811107">
        <w:t xml:space="preserve">živé hmotnosti </w:t>
      </w:r>
      <w:r w:rsidRPr="00AD24BE">
        <w:t>i.m.</w:t>
      </w:r>
      <w:r w:rsidRPr="004D0618">
        <w:t xml:space="preserve"> (0,25</w:t>
      </w:r>
      <w:r w:rsidRPr="004D0618">
        <w:rPr>
          <w:cs/>
        </w:rPr>
        <w:t>–</w:t>
      </w:r>
      <w:r w:rsidRPr="004D0618">
        <w:t>0,4 ml/5 kg</w:t>
      </w:r>
      <w:r w:rsidR="00811107">
        <w:t xml:space="preserve"> živé hmotnosti</w:t>
      </w:r>
      <w:r w:rsidRPr="004D0618">
        <w:t>)</w:t>
      </w:r>
      <w:r>
        <w:t>.</w:t>
      </w:r>
    </w:p>
    <w:p w14:paraId="601BE0E8" w14:textId="77777777" w:rsidR="00CD6B64" w:rsidRPr="004D0618" w:rsidRDefault="00CD6B64" w:rsidP="00A06E47">
      <w:r w:rsidRPr="004D0618">
        <w:t xml:space="preserve">Nástup účinku je obvykle </w:t>
      </w:r>
      <w:r>
        <w:t xml:space="preserve">za </w:t>
      </w:r>
      <w:r w:rsidRPr="004D0618">
        <w:t>3</w:t>
      </w:r>
      <w:r w:rsidRPr="004D0618">
        <w:rPr>
          <w:cs/>
        </w:rPr>
        <w:t>–</w:t>
      </w:r>
      <w:r w:rsidRPr="004D0618">
        <w:t>4 minut</w:t>
      </w:r>
      <w:r>
        <w:t>y</w:t>
      </w:r>
      <w:r w:rsidRPr="004D0618">
        <w:t xml:space="preserve"> a </w:t>
      </w:r>
      <w:r>
        <w:t>trvání</w:t>
      </w:r>
      <w:r w:rsidRPr="004D0618">
        <w:t xml:space="preserve"> účinku </w:t>
      </w:r>
      <w:r>
        <w:t xml:space="preserve">se pohybuje od </w:t>
      </w:r>
      <w:r w:rsidRPr="004D0618">
        <w:t>30</w:t>
      </w:r>
      <w:r>
        <w:rPr>
          <w:cs/>
        </w:rPr>
        <w:t xml:space="preserve"> </w:t>
      </w:r>
      <w:r w:rsidRPr="00A225FF">
        <w:rPr>
          <w:szCs w:val="22"/>
          <w:cs/>
        </w:rPr>
        <w:t>do</w:t>
      </w:r>
      <w:r>
        <w:rPr>
          <w:cs/>
        </w:rPr>
        <w:t xml:space="preserve"> </w:t>
      </w:r>
      <w:r w:rsidRPr="004D0618">
        <w:t xml:space="preserve">60 minut, přičemž </w:t>
      </w:r>
      <w:r>
        <w:t>zá</w:t>
      </w:r>
      <w:r w:rsidRPr="004D0618">
        <w:t xml:space="preserve">visí </w:t>
      </w:r>
      <w:r>
        <w:t>na</w:t>
      </w:r>
      <w:r w:rsidRPr="004D0618">
        <w:t xml:space="preserve"> dáv</w:t>
      </w:r>
      <w:r>
        <w:t>ce</w:t>
      </w:r>
      <w:r w:rsidRPr="004D0618">
        <w:t>.</w:t>
      </w:r>
    </w:p>
    <w:p w14:paraId="2890028B" w14:textId="77777777" w:rsidR="00CD6B64" w:rsidRPr="004D0618" w:rsidRDefault="00CD6B64" w:rsidP="00CD6B64"/>
    <w:p w14:paraId="37BE554E" w14:textId="77777777" w:rsidR="00CD6B64" w:rsidRPr="004D0618" w:rsidRDefault="00CD6B64" w:rsidP="00CD6B64">
      <w:pPr>
        <w:rPr>
          <w:i/>
          <w:u w:val="single"/>
        </w:rPr>
      </w:pPr>
      <w:r>
        <w:rPr>
          <w:u w:val="single"/>
        </w:rPr>
        <w:t>S x</w:t>
      </w:r>
      <w:r w:rsidRPr="004D0618">
        <w:rPr>
          <w:u w:val="single"/>
        </w:rPr>
        <w:t>ylazinem</w:t>
      </w:r>
    </w:p>
    <w:p w14:paraId="1BDB5DC4" w14:textId="596C4E0F" w:rsidR="00CD6B64" w:rsidRPr="004D0618" w:rsidRDefault="00CD6B64" w:rsidP="00CD6B64">
      <w:pPr>
        <w:rPr>
          <w:rFonts w:cs="Arial"/>
          <w:szCs w:val="22"/>
        </w:rPr>
      </w:pPr>
      <w:r>
        <w:t>X</w:t>
      </w:r>
      <w:r w:rsidRPr="004D0618">
        <w:t>ylazin 1</w:t>
      </w:r>
      <w:r w:rsidRPr="004D0618">
        <w:rPr>
          <w:cs/>
        </w:rPr>
        <w:t>–</w:t>
      </w:r>
      <w:r w:rsidRPr="004D0618">
        <w:t>2 mg/kg</w:t>
      </w:r>
      <w:r w:rsidR="00811107">
        <w:t xml:space="preserve"> živé hmotnosti</w:t>
      </w:r>
      <w:r w:rsidRPr="004D0618">
        <w:t xml:space="preserve"> </w:t>
      </w:r>
      <w:proofErr w:type="spellStart"/>
      <w:r w:rsidRPr="00AD24BE">
        <w:t>i.m</w:t>
      </w:r>
      <w:proofErr w:type="spellEnd"/>
      <w:r w:rsidRPr="00AD24BE">
        <w:t>./</w:t>
      </w:r>
      <w:proofErr w:type="spellStart"/>
      <w:r w:rsidRPr="00AD24BE">
        <w:t>s.c</w:t>
      </w:r>
      <w:proofErr w:type="spellEnd"/>
      <w:r w:rsidRPr="00AD24BE">
        <w:t>.</w:t>
      </w:r>
      <w:r w:rsidRPr="004D0618">
        <w:t xml:space="preserve"> a</w:t>
      </w:r>
    </w:p>
    <w:p w14:paraId="49A8E62B" w14:textId="2AFB767C" w:rsidR="00CD6B64" w:rsidRPr="004D0618" w:rsidRDefault="00CD6B64" w:rsidP="00CD6B64">
      <w:pPr>
        <w:rPr>
          <w:rFonts w:cs="Arial"/>
          <w:szCs w:val="22"/>
        </w:rPr>
      </w:pPr>
      <w:r>
        <w:t>k</w:t>
      </w:r>
      <w:r w:rsidRPr="004D0618">
        <w:t>etamin 10</w:t>
      </w:r>
      <w:r w:rsidRPr="004D0618">
        <w:rPr>
          <w:cs/>
        </w:rPr>
        <w:t>–</w:t>
      </w:r>
      <w:r w:rsidRPr="004D0618">
        <w:t xml:space="preserve">20 mg/kg </w:t>
      </w:r>
      <w:r w:rsidR="00811107">
        <w:t xml:space="preserve">živé hmotnosti </w:t>
      </w:r>
      <w:proofErr w:type="spellStart"/>
      <w:r w:rsidRPr="00AD24BE">
        <w:t>i.m</w:t>
      </w:r>
      <w:proofErr w:type="spellEnd"/>
      <w:r w:rsidRPr="00AD24BE">
        <w:t>./</w:t>
      </w:r>
      <w:proofErr w:type="spellStart"/>
      <w:r w:rsidRPr="00AD24BE">
        <w:t>s.c</w:t>
      </w:r>
      <w:proofErr w:type="spellEnd"/>
      <w:r w:rsidRPr="00AD24BE">
        <w:t>.</w:t>
      </w:r>
      <w:r w:rsidRPr="004D0618">
        <w:t xml:space="preserve"> (0,5</w:t>
      </w:r>
      <w:r w:rsidRPr="004D0618">
        <w:rPr>
          <w:cs/>
        </w:rPr>
        <w:t>–</w:t>
      </w:r>
      <w:r w:rsidRPr="004D0618">
        <w:t>1 ml/5 kg)</w:t>
      </w:r>
    </w:p>
    <w:p w14:paraId="611DC0AB" w14:textId="77777777" w:rsidR="00811107" w:rsidRPr="004D0618" w:rsidRDefault="00CD6B64" w:rsidP="00811107">
      <w:pPr>
        <w:rPr>
          <w:rFonts w:cs="Arial"/>
          <w:szCs w:val="22"/>
        </w:rPr>
      </w:pPr>
      <w:r w:rsidRPr="004D0618">
        <w:t>Je zapotřebí použít nejnižší dávku xylazinu (1 mg/kg</w:t>
      </w:r>
      <w:r w:rsidR="00811107">
        <w:t xml:space="preserve"> živé hmotnosti</w:t>
      </w:r>
      <w:r w:rsidRPr="004D0618">
        <w:t xml:space="preserve">), pokud se ketamin používá v nejvyšší dávce </w:t>
      </w:r>
      <w:r w:rsidR="00811107" w:rsidRPr="004D0618">
        <w:t>(20 mg/kg</w:t>
      </w:r>
      <w:r w:rsidR="00811107">
        <w:t xml:space="preserve"> živé hmotnosti</w:t>
      </w:r>
      <w:r w:rsidR="00811107" w:rsidRPr="004D0618">
        <w:t>).</w:t>
      </w:r>
    </w:p>
    <w:p w14:paraId="6F92E1C6" w14:textId="0B06457C" w:rsidR="00CD6B64" w:rsidRPr="004D0618" w:rsidRDefault="00CD6B64" w:rsidP="00CD6B64">
      <w:pPr>
        <w:rPr>
          <w:rFonts w:cs="Arial"/>
          <w:szCs w:val="22"/>
        </w:rPr>
      </w:pPr>
    </w:p>
    <w:p w14:paraId="383F5276" w14:textId="77777777" w:rsidR="00CD6B64" w:rsidRPr="004D0618" w:rsidRDefault="00CD6B64" w:rsidP="00CD6B64">
      <w:pPr>
        <w:rPr>
          <w:rFonts w:cs="Arial"/>
          <w:szCs w:val="22"/>
        </w:rPr>
      </w:pPr>
      <w:r w:rsidRPr="004D0618">
        <w:t xml:space="preserve">Nástup účinku je obvykle do 5 minut od podání ketaminu a </w:t>
      </w:r>
      <w:r>
        <w:t>trvání</w:t>
      </w:r>
      <w:r w:rsidRPr="004D0618">
        <w:t xml:space="preserve"> účinku je nejméně 30 minut.</w:t>
      </w:r>
    </w:p>
    <w:p w14:paraId="704B515B" w14:textId="77777777" w:rsidR="00CD6B64" w:rsidRPr="004D0618" w:rsidRDefault="00CD6B64" w:rsidP="00CD6B64">
      <w:pPr>
        <w:rPr>
          <w:rFonts w:cs="Arial"/>
          <w:szCs w:val="22"/>
        </w:rPr>
      </w:pPr>
    </w:p>
    <w:p w14:paraId="147CFDC2" w14:textId="7F732C2A" w:rsidR="00CD6B64" w:rsidRPr="004D0618" w:rsidRDefault="00CD6B64" w:rsidP="00CD6B64">
      <w:pPr>
        <w:pStyle w:val="Normlnodsazen"/>
        <w:spacing w:after="0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Vzhledem k</w:t>
      </w:r>
      <w:r w:rsidRPr="004D0618">
        <w:rPr>
          <w:rFonts w:ascii="Times New Roman" w:hAnsi="Times New Roman"/>
          <w:sz w:val="22"/>
        </w:rPr>
        <w:t xml:space="preserve"> nízkým objemům dávky se doporučuje používat </w:t>
      </w:r>
      <w:r w:rsidR="00214AE3">
        <w:rPr>
          <w:rFonts w:ascii="Times New Roman" w:hAnsi="Times New Roman"/>
          <w:sz w:val="22"/>
        </w:rPr>
        <w:t>vhodně kalibrovan</w:t>
      </w:r>
      <w:r w:rsidR="00811107">
        <w:rPr>
          <w:rFonts w:ascii="Times New Roman" w:hAnsi="Times New Roman"/>
          <w:sz w:val="22"/>
        </w:rPr>
        <w:t>á</w:t>
      </w:r>
      <w:r w:rsidR="00214AE3">
        <w:rPr>
          <w:rFonts w:ascii="Times New Roman" w:hAnsi="Times New Roman"/>
          <w:sz w:val="22"/>
        </w:rPr>
        <w:t xml:space="preserve"> zařízení, např. </w:t>
      </w:r>
      <w:r w:rsidRPr="004D0618">
        <w:rPr>
          <w:rFonts w:ascii="Times New Roman" w:hAnsi="Times New Roman"/>
          <w:sz w:val="22"/>
        </w:rPr>
        <w:t>injekční stříkačky inzul</w:t>
      </w:r>
      <w:r w:rsidR="00811107">
        <w:rPr>
          <w:rFonts w:ascii="Times New Roman" w:hAnsi="Times New Roman"/>
          <w:sz w:val="22"/>
        </w:rPr>
        <w:t>i</w:t>
      </w:r>
      <w:r w:rsidRPr="004D0618">
        <w:rPr>
          <w:rFonts w:ascii="Times New Roman" w:hAnsi="Times New Roman"/>
          <w:sz w:val="22"/>
        </w:rPr>
        <w:t>nového typu.</w:t>
      </w:r>
    </w:p>
    <w:p w14:paraId="1A1FABF5" w14:textId="77777777" w:rsidR="00CD6B64" w:rsidRPr="004D0618" w:rsidRDefault="00CD6B64" w:rsidP="00CD6B64">
      <w:pPr>
        <w:pStyle w:val="Normlnodsazen"/>
        <w:spacing w:after="0"/>
        <w:ind w:left="0"/>
        <w:rPr>
          <w:rFonts w:ascii="Times New Roman" w:hAnsi="Times New Roman"/>
          <w:sz w:val="22"/>
          <w:szCs w:val="22"/>
        </w:rPr>
      </w:pPr>
    </w:p>
    <w:p w14:paraId="4C149D7C" w14:textId="00723E53" w:rsidR="00CD6B64" w:rsidRPr="004D0618" w:rsidRDefault="00CD6B64" w:rsidP="00CD6B64">
      <w:pPr>
        <w:pStyle w:val="Normlnodsazen"/>
        <w:spacing w:after="0"/>
        <w:ind w:left="0"/>
        <w:rPr>
          <w:rFonts w:ascii="Times New Roman" w:hAnsi="Times New Roman"/>
          <w:sz w:val="22"/>
          <w:szCs w:val="24"/>
        </w:rPr>
      </w:pPr>
      <w:r w:rsidRPr="004D0618">
        <w:rPr>
          <w:rFonts w:ascii="Times New Roman" w:hAnsi="Times New Roman"/>
          <w:sz w:val="22"/>
        </w:rPr>
        <w:t>Gumovou zátku lze propíchnout max</w:t>
      </w:r>
      <w:r w:rsidR="00811107">
        <w:rPr>
          <w:rFonts w:ascii="Times New Roman" w:hAnsi="Times New Roman"/>
          <w:sz w:val="22"/>
        </w:rPr>
        <w:t>.</w:t>
      </w:r>
      <w:r w:rsidRPr="004D0618">
        <w:rPr>
          <w:rFonts w:ascii="Times New Roman" w:hAnsi="Times New Roman"/>
          <w:sz w:val="22"/>
        </w:rPr>
        <w:t xml:space="preserve"> 25krát.</w:t>
      </w:r>
    </w:p>
    <w:p w14:paraId="4DEA82D3" w14:textId="77777777" w:rsidR="00CD6B64" w:rsidRDefault="00CD6B64" w:rsidP="00EE6B91"/>
    <w:p w14:paraId="0F09FE55" w14:textId="77777777" w:rsidR="00DC108F" w:rsidRDefault="00DC108F" w:rsidP="00EE6B91"/>
    <w:p w14:paraId="11C5BF9C" w14:textId="77777777" w:rsidR="00A12093" w:rsidRPr="00B41D57" w:rsidRDefault="00A12093" w:rsidP="00A12093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5F09A8A3" w14:textId="77777777" w:rsidR="00871283" w:rsidRDefault="00871283" w:rsidP="00871283">
      <w:pPr>
        <w:tabs>
          <w:tab w:val="left" w:pos="0"/>
        </w:tabs>
        <w:rPr>
          <w:color w:val="000000"/>
          <w:szCs w:val="22"/>
          <w:lang w:eastAsia="de-AT"/>
        </w:rPr>
      </w:pPr>
    </w:p>
    <w:p w14:paraId="03877351" w14:textId="33F8D66C" w:rsidR="00CD6B64" w:rsidRPr="004D0618" w:rsidRDefault="00214AE3" w:rsidP="00A12093">
      <w:r>
        <w:rPr>
          <w:color w:val="000000"/>
          <w:szCs w:val="22"/>
          <w:lang w:eastAsia="de-AT"/>
        </w:rPr>
        <w:t>Viz</w:t>
      </w:r>
      <w:r w:rsidR="00335A45">
        <w:rPr>
          <w:color w:val="000000"/>
          <w:szCs w:val="22"/>
          <w:lang w:eastAsia="de-AT"/>
        </w:rPr>
        <w:t xml:space="preserve"> bod</w:t>
      </w:r>
      <w:r>
        <w:rPr>
          <w:color w:val="000000"/>
          <w:szCs w:val="22"/>
          <w:lang w:eastAsia="de-AT"/>
        </w:rPr>
        <w:t xml:space="preserve"> „Zvláštní upozornění“</w:t>
      </w:r>
      <w:r w:rsidR="00135387">
        <w:rPr>
          <w:color w:val="000000"/>
          <w:szCs w:val="22"/>
          <w:lang w:eastAsia="de-AT"/>
        </w:rPr>
        <w:t xml:space="preserve"> v příbalové informaci</w:t>
      </w:r>
      <w:r>
        <w:rPr>
          <w:color w:val="000000"/>
          <w:szCs w:val="22"/>
          <w:lang w:eastAsia="de-AT"/>
        </w:rPr>
        <w:t>.</w:t>
      </w:r>
    </w:p>
    <w:p w14:paraId="7E5F8CD0" w14:textId="77777777" w:rsidR="00CD6B64" w:rsidRDefault="00CD6B64" w:rsidP="00CD6B64"/>
    <w:p w14:paraId="52546653" w14:textId="77777777" w:rsidR="00DC108F" w:rsidRPr="004D0618" w:rsidRDefault="00DC108F" w:rsidP="00CD6B64"/>
    <w:p w14:paraId="5B7968CC" w14:textId="77777777" w:rsidR="00A12093" w:rsidRPr="00B41D57" w:rsidRDefault="00A12093" w:rsidP="00A12093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0ADB1AA0" w14:textId="77777777" w:rsidR="00EE6B91" w:rsidRDefault="00EE6B91" w:rsidP="00EE6B91">
      <w:pPr>
        <w:rPr>
          <w:iCs/>
        </w:rPr>
      </w:pPr>
    </w:p>
    <w:p w14:paraId="12992CF1" w14:textId="77777777" w:rsidR="00CD6B64" w:rsidRPr="004D0618" w:rsidRDefault="00CD6B64" w:rsidP="00CD6B64">
      <w:pPr>
        <w:rPr>
          <w:bCs/>
          <w:u w:val="single"/>
        </w:rPr>
      </w:pPr>
      <w:r w:rsidRPr="004D0618">
        <w:rPr>
          <w:u w:val="single"/>
        </w:rPr>
        <w:t>Koně a skot:</w:t>
      </w:r>
    </w:p>
    <w:p w14:paraId="195DD19A" w14:textId="77777777" w:rsidR="00CD6B64" w:rsidRPr="004D0618" w:rsidRDefault="00CD6B64" w:rsidP="00CD6B64">
      <w:pPr>
        <w:tabs>
          <w:tab w:val="left" w:pos="1560"/>
        </w:tabs>
        <w:rPr>
          <w:bCs/>
        </w:rPr>
      </w:pPr>
      <w:r w:rsidRPr="004D0618">
        <w:t xml:space="preserve">Maso: </w:t>
      </w:r>
      <w:r w:rsidRPr="004D0618">
        <w:tab/>
      </w:r>
      <w:r w:rsidRPr="00A0736E">
        <w:t xml:space="preserve"> </w:t>
      </w:r>
      <w:r>
        <w:t>Bez ochranných lhůt.</w:t>
      </w:r>
    </w:p>
    <w:p w14:paraId="3F3EAF54" w14:textId="77777777" w:rsidR="00CD6B64" w:rsidRPr="004D0618" w:rsidRDefault="00CD6B64" w:rsidP="00CD6B64">
      <w:pPr>
        <w:tabs>
          <w:tab w:val="left" w:pos="1554"/>
        </w:tabs>
        <w:rPr>
          <w:bCs/>
        </w:rPr>
      </w:pPr>
      <w:r w:rsidRPr="004D0618">
        <w:lastRenderedPageBreak/>
        <w:t xml:space="preserve">Mléko: </w:t>
      </w:r>
      <w:r w:rsidRPr="004D0618">
        <w:tab/>
      </w:r>
      <w:r w:rsidRPr="00A0736E">
        <w:t xml:space="preserve"> </w:t>
      </w:r>
      <w:r>
        <w:t>Bez ochranných lhůt.</w:t>
      </w:r>
    </w:p>
    <w:p w14:paraId="62D8EDB3" w14:textId="77777777" w:rsidR="00CD6B64" w:rsidRPr="004D0618" w:rsidRDefault="00CD6B64" w:rsidP="00CD6B64">
      <w:pPr>
        <w:tabs>
          <w:tab w:val="left" w:pos="1554"/>
        </w:tabs>
        <w:rPr>
          <w:bCs/>
        </w:rPr>
      </w:pPr>
    </w:p>
    <w:p w14:paraId="3723D11B" w14:textId="77777777" w:rsidR="00CD6B64" w:rsidRPr="004D0618" w:rsidRDefault="00CD6B64" w:rsidP="00516BE8">
      <w:pPr>
        <w:keepNext/>
        <w:tabs>
          <w:tab w:val="left" w:pos="1554"/>
        </w:tabs>
        <w:rPr>
          <w:bCs/>
          <w:u w:val="single"/>
        </w:rPr>
      </w:pPr>
      <w:r w:rsidRPr="004D0618">
        <w:rPr>
          <w:u w:val="single"/>
        </w:rPr>
        <w:t>Prasata:</w:t>
      </w:r>
    </w:p>
    <w:p w14:paraId="7419D3EB" w14:textId="77777777" w:rsidR="00CD6B64" w:rsidRPr="004D0618" w:rsidRDefault="00CD6B64" w:rsidP="00CD6B64">
      <w:pPr>
        <w:tabs>
          <w:tab w:val="left" w:pos="1540"/>
        </w:tabs>
        <w:rPr>
          <w:iCs/>
        </w:rPr>
      </w:pPr>
      <w:r w:rsidRPr="004D0618">
        <w:t xml:space="preserve">Maso: </w:t>
      </w:r>
      <w:r w:rsidRPr="004D0618">
        <w:tab/>
      </w:r>
      <w:r w:rsidRPr="00A0736E">
        <w:t xml:space="preserve"> </w:t>
      </w:r>
      <w:r>
        <w:t>Bez ochranných lhůt.</w:t>
      </w:r>
    </w:p>
    <w:p w14:paraId="1DE3D9C8" w14:textId="77777777" w:rsidR="00EE6B91" w:rsidRDefault="00EE6B91" w:rsidP="00EE6B91">
      <w:pPr>
        <w:rPr>
          <w:iCs/>
        </w:rPr>
      </w:pPr>
    </w:p>
    <w:p w14:paraId="396FBAD8" w14:textId="77777777" w:rsidR="00DC108F" w:rsidRDefault="00DC108F" w:rsidP="00EE6B91">
      <w:pPr>
        <w:rPr>
          <w:iCs/>
        </w:rPr>
      </w:pPr>
    </w:p>
    <w:p w14:paraId="7A804597" w14:textId="77777777" w:rsidR="00A12093" w:rsidRPr="00B41D57" w:rsidRDefault="00A12093" w:rsidP="00A12093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63DEC962" w14:textId="77777777" w:rsidR="00EE6B91" w:rsidRPr="00F30D3F" w:rsidRDefault="00EE6B91" w:rsidP="00EE6B91"/>
    <w:p w14:paraId="74E0A24B" w14:textId="39CD9B64" w:rsidR="00CD6B64" w:rsidRPr="004D0618" w:rsidRDefault="00CD6B64" w:rsidP="00CD6B64">
      <w:pPr>
        <w:numPr>
          <w:ilvl w:val="12"/>
          <w:numId w:val="0"/>
        </w:numPr>
        <w:ind w:right="-2"/>
      </w:pPr>
      <w:r w:rsidRPr="004D0618">
        <w:t>Uchováv</w:t>
      </w:r>
      <w:r w:rsidR="00EF2486">
        <w:t>ejte</w:t>
      </w:r>
      <w:r w:rsidRPr="004D0618">
        <w:t xml:space="preserve"> mimo </w:t>
      </w:r>
      <w:r w:rsidR="00963778">
        <w:t xml:space="preserve">dohled a </w:t>
      </w:r>
      <w:r w:rsidRPr="004D0618">
        <w:t>dosah dětí.</w:t>
      </w:r>
    </w:p>
    <w:p w14:paraId="68BF1473" w14:textId="77777777" w:rsidR="00CD6B64" w:rsidRPr="004D0618" w:rsidRDefault="00CD6B64" w:rsidP="00CD6B64">
      <w:r w:rsidRPr="004D0618">
        <w:t>Uchovávejte vnitřní obal v krabičce, aby byl chráněn před světlem.</w:t>
      </w:r>
    </w:p>
    <w:p w14:paraId="05806DB3" w14:textId="29D1034E" w:rsidR="00CD6B64" w:rsidRPr="004D0618" w:rsidRDefault="00CD6B64" w:rsidP="00A06E47">
      <w:pPr>
        <w:ind w:right="-2"/>
      </w:pPr>
      <w:r w:rsidRPr="004D0618">
        <w:t>Nepoužívejte tento veterinární léčivý přípravek po uplynutí doby použitelnosti uvedené na etiketě a krabičce</w:t>
      </w:r>
      <w:r w:rsidR="00603946">
        <w:t xml:space="preserve"> </w:t>
      </w:r>
      <w:r w:rsidR="00603946" w:rsidRPr="00603946">
        <w:t>po</w:t>
      </w:r>
      <w:r w:rsidR="00F22442">
        <w:t xml:space="preserve"> E</w:t>
      </w:r>
      <w:r w:rsidR="00135387">
        <w:t>xp.</w:t>
      </w:r>
      <w:r w:rsidRPr="004D0618">
        <w:t xml:space="preserve"> Doba použitelnosti </w:t>
      </w:r>
      <w:r>
        <w:t>končí</w:t>
      </w:r>
      <w:r w:rsidRPr="004D0618">
        <w:t xml:space="preserve"> posledním dn</w:t>
      </w:r>
      <w:r>
        <w:t>em v</w:t>
      </w:r>
      <w:r w:rsidRPr="004D0618">
        <w:t xml:space="preserve"> </w:t>
      </w:r>
      <w:r>
        <w:t>uvedeném</w:t>
      </w:r>
      <w:r w:rsidRPr="004D0618">
        <w:t xml:space="preserve"> měsíc</w:t>
      </w:r>
      <w:r>
        <w:t>i</w:t>
      </w:r>
      <w:r w:rsidRPr="004D0618">
        <w:t>.</w:t>
      </w:r>
    </w:p>
    <w:p w14:paraId="2AFD316A" w14:textId="2229E297" w:rsidR="00CD6B64" w:rsidRPr="004D0618" w:rsidRDefault="00F83CAA" w:rsidP="00CD6B64">
      <w:pPr>
        <w:tabs>
          <w:tab w:val="left" w:pos="0"/>
        </w:tabs>
        <w:ind w:hanging="540"/>
      </w:pPr>
      <w:r>
        <w:tab/>
      </w:r>
      <w:r w:rsidR="00CD6B64" w:rsidRPr="004D0618">
        <w:t>Doba použitelnosti po prvním otevření vnitřního obalu: 28 dní</w:t>
      </w:r>
      <w:r w:rsidR="00CD6B64">
        <w:t>.</w:t>
      </w:r>
    </w:p>
    <w:p w14:paraId="4E5D6AA0" w14:textId="77777777" w:rsidR="00CD6B64" w:rsidRPr="004D0618" w:rsidRDefault="00CD6B64" w:rsidP="00CD6B64">
      <w:pPr>
        <w:ind w:left="540" w:hanging="540"/>
      </w:pPr>
      <w:r w:rsidRPr="004D0618">
        <w:t xml:space="preserve">Po prvním otevření uchovávejte při teplotě do 25 °C. </w:t>
      </w:r>
    </w:p>
    <w:p w14:paraId="70D06206" w14:textId="77777777" w:rsidR="00CD6B64" w:rsidRDefault="00CD6B64" w:rsidP="00EE6B91"/>
    <w:p w14:paraId="054D8196" w14:textId="77777777" w:rsidR="00EE6B91" w:rsidRPr="00F30D3F" w:rsidRDefault="00EE6B91" w:rsidP="00EE6B91">
      <w:pPr>
        <w:ind w:right="-318"/>
      </w:pPr>
    </w:p>
    <w:p w14:paraId="1B463560" w14:textId="77777777" w:rsidR="00A12093" w:rsidRPr="00B41D57" w:rsidRDefault="00A12093" w:rsidP="0027723E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>Zvláštní opatření pro likvidaci</w:t>
      </w:r>
    </w:p>
    <w:p w14:paraId="7C0EF7AB" w14:textId="77777777" w:rsidR="00CD6B64" w:rsidRDefault="00CD6B64" w:rsidP="0027723E">
      <w:pPr>
        <w:keepNext/>
      </w:pPr>
    </w:p>
    <w:p w14:paraId="36A3A5A5" w14:textId="396FA7A0" w:rsidR="00135387" w:rsidRPr="00135387" w:rsidRDefault="00135387" w:rsidP="0027723E">
      <w:pPr>
        <w:rPr>
          <w:szCs w:val="22"/>
        </w:rPr>
      </w:pPr>
      <w:r w:rsidRPr="00135387">
        <w:t>Léčivé přípravky se nesmí likvidovat prostřednictvím odpadní vody či domovního odpadu.</w:t>
      </w:r>
    </w:p>
    <w:p w14:paraId="3F168CA6" w14:textId="77777777" w:rsidR="00135387" w:rsidRPr="00135387" w:rsidRDefault="00135387" w:rsidP="0027723E">
      <w:pPr>
        <w:tabs>
          <w:tab w:val="left" w:pos="567"/>
        </w:tabs>
        <w:spacing w:line="260" w:lineRule="exact"/>
        <w:rPr>
          <w:szCs w:val="22"/>
        </w:rPr>
      </w:pPr>
      <w:r w:rsidRPr="0013538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25461E45" w14:textId="77777777" w:rsidR="00135387" w:rsidRDefault="00135387" w:rsidP="00135387">
      <w:pPr>
        <w:tabs>
          <w:tab w:val="left" w:pos="0"/>
        </w:tabs>
      </w:pPr>
    </w:p>
    <w:p w14:paraId="71EFF983" w14:textId="77777777" w:rsidR="00135387" w:rsidRDefault="00135387" w:rsidP="00A06E47">
      <w:pPr>
        <w:tabs>
          <w:tab w:val="left" w:pos="0"/>
        </w:tabs>
      </w:pPr>
    </w:p>
    <w:p w14:paraId="40D19A73" w14:textId="77777777" w:rsidR="00A12093" w:rsidRPr="00B41D57" w:rsidRDefault="00A12093" w:rsidP="00A12093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5C97A63F" w14:textId="77777777" w:rsidR="00A12093" w:rsidRPr="004D0618" w:rsidRDefault="00A12093" w:rsidP="00A06E47">
      <w:pPr>
        <w:tabs>
          <w:tab w:val="left" w:pos="0"/>
        </w:tabs>
      </w:pPr>
    </w:p>
    <w:p w14:paraId="3223C221" w14:textId="77777777" w:rsidR="00145CD8" w:rsidRDefault="00145CD8" w:rsidP="00145CD8">
      <w:r w:rsidRPr="00597727">
        <w:t>Veterinární léčivý přípravek je vydáván pouze na předpis.</w:t>
      </w:r>
    </w:p>
    <w:p w14:paraId="135572C2" w14:textId="77777777" w:rsidR="00145CD8" w:rsidRPr="006E18B8" w:rsidRDefault="00145CD8" w:rsidP="00145CD8"/>
    <w:p w14:paraId="449AEEF7" w14:textId="4AAD4509" w:rsidR="00EE6B91" w:rsidRPr="00F467E9" w:rsidRDefault="00EE6B91" w:rsidP="00836D30">
      <w:pPr>
        <w:pStyle w:val="Zkladntext"/>
      </w:pPr>
    </w:p>
    <w:p w14:paraId="75404C65" w14:textId="77777777" w:rsidR="00A12093" w:rsidRPr="00B41D57" w:rsidRDefault="00A12093" w:rsidP="00A12093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3360659C" w14:textId="7D7BADD1" w:rsidR="00EE6B91" w:rsidRDefault="00EE6B91" w:rsidP="00EE6B91">
      <w:pPr>
        <w:ind w:right="-318"/>
      </w:pPr>
    </w:p>
    <w:p w14:paraId="0CC81780" w14:textId="1D67474E" w:rsidR="00145CD8" w:rsidRDefault="00145CD8" w:rsidP="00EE6B91">
      <w:pPr>
        <w:ind w:right="-318"/>
      </w:pPr>
      <w:r>
        <w:t>96/075/16-C</w:t>
      </w:r>
    </w:p>
    <w:p w14:paraId="1E273003" w14:textId="77777777" w:rsidR="00145CD8" w:rsidRDefault="00145CD8" w:rsidP="00EE6B91">
      <w:pPr>
        <w:ind w:right="-318"/>
      </w:pPr>
    </w:p>
    <w:p w14:paraId="0BB53C6D" w14:textId="77777777" w:rsidR="00A12093" w:rsidRPr="004D0618" w:rsidRDefault="00A12093" w:rsidP="00A12093">
      <w:pPr>
        <w:tabs>
          <w:tab w:val="left" w:pos="0"/>
        </w:tabs>
      </w:pPr>
      <w:r w:rsidRPr="004D0618">
        <w:rPr>
          <w:u w:val="single"/>
        </w:rPr>
        <w:t>Velikosti balení</w:t>
      </w:r>
      <w:r>
        <w:rPr>
          <w:u w:val="single"/>
        </w:rPr>
        <w:t>:</w:t>
      </w:r>
      <w:r w:rsidRPr="004D0618">
        <w:t xml:space="preserve"> </w:t>
      </w:r>
    </w:p>
    <w:p w14:paraId="42DBCF74" w14:textId="77777777" w:rsidR="00A12093" w:rsidRPr="004D0618" w:rsidRDefault="00A12093" w:rsidP="00A12093">
      <w:r w:rsidRPr="004D0618">
        <w:t>1 x 10 ml, 5 x 10 ml, 1 x 50 ml</w:t>
      </w:r>
    </w:p>
    <w:p w14:paraId="05B27547" w14:textId="77777777" w:rsidR="00A12093" w:rsidRDefault="00A12093" w:rsidP="00A12093">
      <w:r w:rsidRPr="004D0618">
        <w:t>Na trhu nemusí být všechny velikosti balení.</w:t>
      </w:r>
    </w:p>
    <w:p w14:paraId="5C982E1C" w14:textId="552DD3EB" w:rsidR="00A12093" w:rsidRDefault="00A12093" w:rsidP="00EE6B91">
      <w:pPr>
        <w:ind w:right="-318"/>
      </w:pPr>
    </w:p>
    <w:p w14:paraId="76EA7A9E" w14:textId="77777777" w:rsidR="00DC108F" w:rsidRDefault="00DC108F" w:rsidP="00EE6B91">
      <w:pPr>
        <w:ind w:right="-318"/>
      </w:pPr>
    </w:p>
    <w:p w14:paraId="0F886A94" w14:textId="240361FF" w:rsidR="00A12093" w:rsidRPr="00B41D57" w:rsidRDefault="00A12093" w:rsidP="00A12093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0A3A7FC8" w14:textId="14D8D1A6" w:rsidR="00EE6B91" w:rsidRDefault="00EE6B91" w:rsidP="00EE6B91"/>
    <w:p w14:paraId="5CEF7AC9" w14:textId="7A1A221D" w:rsidR="004B2C8E" w:rsidRDefault="00811107" w:rsidP="00EE6B91">
      <w:r>
        <w:t>0</w:t>
      </w:r>
      <w:r w:rsidR="00836D30">
        <w:t>8</w:t>
      </w:r>
      <w:bookmarkStart w:id="2" w:name="_GoBack"/>
      <w:bookmarkEnd w:id="2"/>
      <w:r>
        <w:t>/2025</w:t>
      </w:r>
    </w:p>
    <w:p w14:paraId="1A000BB0" w14:textId="77777777" w:rsidR="00811107" w:rsidRDefault="00811107" w:rsidP="00EE6B91"/>
    <w:p w14:paraId="2A9EA50E" w14:textId="77777777" w:rsidR="00A12093" w:rsidRPr="00A12093" w:rsidRDefault="00A12093" w:rsidP="00A12093">
      <w:pPr>
        <w:rPr>
          <w:szCs w:val="22"/>
        </w:rPr>
      </w:pPr>
      <w:r w:rsidRPr="00A12093">
        <w:t xml:space="preserve">Podrobné informace o tomto veterinárním léčivém přípravku jsou k dispozici v databázi přípravků Unie </w:t>
      </w:r>
      <w:r w:rsidRPr="00A12093">
        <w:rPr>
          <w:szCs w:val="22"/>
        </w:rPr>
        <w:t>(</w:t>
      </w:r>
      <w:hyperlink r:id="rId12" w:history="1">
        <w:r w:rsidRPr="00A12093">
          <w:rPr>
            <w:color w:val="0000FF"/>
            <w:szCs w:val="22"/>
            <w:u w:val="single"/>
          </w:rPr>
          <w:t>https://medicines.health.europa.eu/veterinary</w:t>
        </w:r>
      </w:hyperlink>
      <w:r w:rsidRPr="00A12093">
        <w:rPr>
          <w:szCs w:val="22"/>
        </w:rPr>
        <w:t>).</w:t>
      </w:r>
    </w:p>
    <w:p w14:paraId="664462B0" w14:textId="79A425A4" w:rsidR="00CD6B64" w:rsidRDefault="00CD6B64" w:rsidP="00CD6B64"/>
    <w:p w14:paraId="5F93E952" w14:textId="3BE68B67" w:rsidR="00811107" w:rsidRDefault="00811107" w:rsidP="00811107">
      <w:bookmarkStart w:id="3" w:name="_Hlk148432335"/>
      <w:r w:rsidRPr="00C672C7">
        <w:t>Podrobné informace o tomto veterinárním léčivém přípravku naleznete také v národní databázi (</w:t>
      </w:r>
      <w:hyperlink r:id="rId13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p w14:paraId="167ED260" w14:textId="77777777" w:rsidR="00F83CAA" w:rsidRPr="00C672C7" w:rsidRDefault="00F83CAA" w:rsidP="00811107"/>
    <w:bookmarkEnd w:id="3"/>
    <w:p w14:paraId="38369540" w14:textId="77777777" w:rsidR="00DC108F" w:rsidRDefault="00DC108F" w:rsidP="00CD6B64"/>
    <w:p w14:paraId="596D6C0A" w14:textId="77777777" w:rsidR="004B2C8E" w:rsidRPr="00B41D57" w:rsidRDefault="004B2C8E" w:rsidP="004B2C8E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29450F6C" w14:textId="77777777" w:rsidR="004B2C8E" w:rsidRDefault="004B2C8E" w:rsidP="00CD6B64"/>
    <w:p w14:paraId="790E363E" w14:textId="0B528CE2" w:rsidR="004B2C8E" w:rsidRDefault="004B2C8E" w:rsidP="007738B5">
      <w:pPr>
        <w:rPr>
          <w:u w:val="single"/>
        </w:rPr>
      </w:pPr>
      <w:r w:rsidRPr="003676BE">
        <w:rPr>
          <w:u w:val="single"/>
        </w:rPr>
        <w:t>Držitel rozhodnutí o registraci a výrobce odpovědný za uvolnění šarže</w:t>
      </w:r>
      <w:r w:rsidR="007738B5">
        <w:rPr>
          <w:u w:val="single"/>
        </w:rPr>
        <w:t xml:space="preserve"> </w:t>
      </w:r>
      <w:r w:rsidR="007738B5" w:rsidRPr="007738B5">
        <w:rPr>
          <w:iCs/>
          <w:u w:val="single"/>
        </w:rPr>
        <w:t>a kontaktní údaje pro hlášení podezření na nežádoucí účinky</w:t>
      </w:r>
      <w:r>
        <w:rPr>
          <w:u w:val="single"/>
        </w:rPr>
        <w:t>:</w:t>
      </w:r>
    </w:p>
    <w:p w14:paraId="25AFE170" w14:textId="12D9F50D" w:rsidR="00CD6B64" w:rsidRDefault="004B2C8E" w:rsidP="004B2C8E">
      <w:pPr>
        <w:ind w:right="-2"/>
      </w:pPr>
      <w:r>
        <w:t xml:space="preserve">VetViva </w:t>
      </w:r>
      <w:r w:rsidRPr="004D0618">
        <w:t>Richter</w:t>
      </w:r>
      <w:r>
        <w:t xml:space="preserve"> GmbH</w:t>
      </w:r>
      <w:r w:rsidRPr="004D0618">
        <w:t xml:space="preserve">, </w:t>
      </w:r>
      <w:r>
        <w:t>Durisolstrasse 14</w:t>
      </w:r>
      <w:r w:rsidRPr="004D0618">
        <w:t>, 4600 Wels, Rakousko</w:t>
      </w:r>
    </w:p>
    <w:p w14:paraId="6AC08146" w14:textId="77777777" w:rsidR="004B2C8E" w:rsidRDefault="004B2C8E" w:rsidP="00A06E47"/>
    <w:p w14:paraId="57ED6786" w14:textId="02C58F48" w:rsidR="004B2C8E" w:rsidRDefault="004B2C8E" w:rsidP="00A06E47"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p w14:paraId="704D1200" w14:textId="77777777" w:rsidR="00145CD8" w:rsidRPr="004B2C8E" w:rsidRDefault="00145CD8" w:rsidP="00145CD8">
      <w:r w:rsidRPr="004B2C8E">
        <w:rPr>
          <w:lang w:val="da-DK"/>
        </w:rPr>
        <w:t>Orion Pharma s.r.o.</w:t>
      </w:r>
    </w:p>
    <w:p w14:paraId="57B877D8" w14:textId="77777777" w:rsidR="00145CD8" w:rsidRPr="004B2C8E" w:rsidRDefault="00145CD8" w:rsidP="00145CD8">
      <w:r w:rsidRPr="004B2C8E">
        <w:rPr>
          <w:lang w:val="es-CR"/>
        </w:rPr>
        <w:lastRenderedPageBreak/>
        <w:t>Na Strži 2102/61a,</w:t>
      </w:r>
    </w:p>
    <w:p w14:paraId="5ADA7E65" w14:textId="77777777" w:rsidR="00145CD8" w:rsidRPr="004B2C8E" w:rsidRDefault="00145CD8" w:rsidP="00145CD8">
      <w:r w:rsidRPr="004B2C8E">
        <w:t>Praha, 140 00</w:t>
      </w:r>
    </w:p>
    <w:p w14:paraId="0B2FDC3C" w14:textId="77777777" w:rsidR="00145CD8" w:rsidRPr="004B2C8E" w:rsidRDefault="00145CD8" w:rsidP="00145CD8">
      <w:r w:rsidRPr="004B2C8E">
        <w:t>Tel: +420 227 027 263</w:t>
      </w:r>
    </w:p>
    <w:p w14:paraId="6AF1B69B" w14:textId="4620A0B8" w:rsidR="004B2C8E" w:rsidRPr="004B2C8E" w:rsidRDefault="00145CD8" w:rsidP="00145CD8">
      <w:hyperlink r:id="rId14" w:tgtFrame="_blank" w:history="1">
        <w:r w:rsidRPr="004B2C8E">
          <w:rPr>
            <w:rStyle w:val="Hypertextovodkaz"/>
          </w:rPr>
          <w:t>orion@orionpharma.cz</w:t>
        </w:r>
      </w:hyperlink>
    </w:p>
    <w:p w14:paraId="3186FFF6" w14:textId="77777777" w:rsidR="004B2C8E" w:rsidRPr="004B2C8E" w:rsidRDefault="004B2C8E" w:rsidP="004B2C8E">
      <w:pPr>
        <w:rPr>
          <w:szCs w:val="22"/>
        </w:rPr>
      </w:pPr>
      <w:r w:rsidRPr="004B2C8E">
        <w:t>Pokud chcete získat informace o tomto veterinárním léčivém přípravku, kontaktujte prosím příslušného místního zástupce držitele rozhodnutí o registraci.</w:t>
      </w:r>
    </w:p>
    <w:p w14:paraId="6E474AA9" w14:textId="44D7434D" w:rsidR="00F51039" w:rsidRPr="00DC108F" w:rsidRDefault="00F51039" w:rsidP="00EE6B91"/>
    <w:p w14:paraId="113DBDBD" w14:textId="3ED0F0D6" w:rsidR="00A95997" w:rsidRPr="00DC108F" w:rsidRDefault="00A95997" w:rsidP="00EE6B91"/>
    <w:p w14:paraId="406012F0" w14:textId="77777777" w:rsidR="00145CD8" w:rsidRPr="00B41D57" w:rsidRDefault="00145CD8" w:rsidP="00145CD8">
      <w:pPr>
        <w:pStyle w:val="Style1"/>
      </w:pPr>
      <w:r w:rsidRPr="00145CD8">
        <w:rPr>
          <w:highlight w:val="lightGray"/>
        </w:rPr>
        <w:t>&lt;17.</w:t>
      </w:r>
      <w:r w:rsidRPr="00145CD8">
        <w:rPr>
          <w:highlight w:val="lightGray"/>
        </w:rPr>
        <w:tab/>
        <w:t>Další informace&gt;</w:t>
      </w:r>
    </w:p>
    <w:p w14:paraId="70B40C38" w14:textId="486AD451" w:rsidR="0021701D" w:rsidRPr="00836D30" w:rsidRDefault="0021701D" w:rsidP="0021701D"/>
    <w:p w14:paraId="456005FC" w14:textId="7ECDA4E8" w:rsidR="00811107" w:rsidRPr="00836D30" w:rsidRDefault="00811107" w:rsidP="0021701D">
      <w:r w:rsidRPr="00836D30">
        <w:t>Přípravek obsahuje návykové látky.</w:t>
      </w:r>
      <w:r w:rsidRPr="00836D30">
        <w:rPr>
          <w:rFonts w:ascii="Calibri" w:hAnsi="Calibri"/>
          <w:noProof/>
          <w:color w:val="1F497D"/>
          <w:lang w:eastAsia="de-AT"/>
        </w:rPr>
        <w:t xml:space="preserve"> </w:t>
      </w:r>
      <w:r>
        <w:rPr>
          <w:rFonts w:ascii="Calibri" w:hAnsi="Calibri"/>
          <w:noProof/>
          <w:color w:val="1F497D"/>
          <w:lang w:val="de-AT" w:eastAsia="de-AT"/>
        </w:rPr>
        <w:drawing>
          <wp:inline distT="0" distB="0" distL="0" distR="0" wp14:anchorId="7E42180D" wp14:editId="48A1B5F0">
            <wp:extent cx="468630" cy="275590"/>
            <wp:effectExtent l="0" t="0" r="0" b="0"/>
            <wp:docPr id="2" name="Bild 1" descr="~b178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b17889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1107" w:rsidRPr="00836D30">
      <w:footerReference w:type="default" r:id="rId16"/>
      <w:headerReference w:type="first" r:id="rId17"/>
      <w:footerReference w:type="first" r:id="rId18"/>
      <w:endnotePr>
        <w:numFmt w:val="decimal"/>
      </w:endnotePr>
      <w:pgSz w:w="11918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30B8F" w14:textId="77777777" w:rsidR="000A0F87" w:rsidRDefault="000A0F87">
      <w:r>
        <w:separator/>
      </w:r>
    </w:p>
  </w:endnote>
  <w:endnote w:type="continuationSeparator" w:id="0">
    <w:p w14:paraId="6557705C" w14:textId="77777777" w:rsidR="000A0F87" w:rsidRDefault="000A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A65B3" w14:textId="77777777" w:rsidR="00CF7CB3" w:rsidRPr="000A6B2C" w:rsidRDefault="00CF7CB3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14:paraId="42DC37BA" w14:textId="77777777" w:rsidR="00CF7CB3" w:rsidRPr="000A6B2C" w:rsidRDefault="00CF7CB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 w:rsidRPr="000A6B2C">
      <w:rPr>
        <w:rFonts w:ascii="Times New Roman" w:hAnsi="Times New Roman"/>
      </w:rPr>
      <w:fldChar w:fldCharType="begin"/>
    </w:r>
    <w:r w:rsidRPr="000A6B2C">
      <w:rPr>
        <w:rFonts w:ascii="Times New Roman" w:hAnsi="Times New Roman"/>
      </w:rPr>
      <w:instrText xml:space="preserve"> PAGE  \* MERGEFORMAT </w:instrText>
    </w:r>
    <w:r w:rsidRPr="000A6B2C">
      <w:rPr>
        <w:rFonts w:ascii="Times New Roman" w:hAnsi="Times New Roman"/>
      </w:rPr>
      <w:fldChar w:fldCharType="separate"/>
    </w:r>
    <w:r w:rsidR="00096EDF">
      <w:rPr>
        <w:rFonts w:ascii="Times New Roman" w:hAnsi="Times New Roman"/>
        <w:noProof/>
      </w:rPr>
      <w:t>7</w:t>
    </w:r>
    <w:r w:rsidRPr="000A6B2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EDC26" w14:textId="77777777" w:rsidR="00CF7CB3" w:rsidRDefault="00CF7CB3">
    <w:pPr>
      <w:pStyle w:val="Zpat"/>
      <w:tabs>
        <w:tab w:val="clear" w:pos="8930"/>
        <w:tab w:val="right" w:pos="8931"/>
      </w:tabs>
    </w:pPr>
  </w:p>
  <w:p w14:paraId="33B0844F" w14:textId="77777777" w:rsidR="00CF7CB3" w:rsidRPr="000A6B2C" w:rsidRDefault="00CF7CB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 w:rsidRPr="000A6B2C">
      <w:rPr>
        <w:rFonts w:ascii="Times New Roman" w:hAnsi="Times New Roman"/>
      </w:rPr>
      <w:fldChar w:fldCharType="begin"/>
    </w:r>
    <w:r w:rsidRPr="000A6B2C">
      <w:rPr>
        <w:rFonts w:ascii="Times New Roman" w:hAnsi="Times New Roman"/>
      </w:rPr>
      <w:instrText xml:space="preserve"> PAGE  \* MERGEFORMAT </w:instrText>
    </w:r>
    <w:r w:rsidRPr="000A6B2C">
      <w:rPr>
        <w:rFonts w:ascii="Times New Roman" w:hAnsi="Times New Roman"/>
      </w:rPr>
      <w:fldChar w:fldCharType="separate"/>
    </w:r>
    <w:r w:rsidR="00096EDF">
      <w:rPr>
        <w:rFonts w:ascii="Times New Roman" w:hAnsi="Times New Roman"/>
        <w:noProof/>
      </w:rPr>
      <w:t>1</w:t>
    </w:r>
    <w:r w:rsidRPr="000A6B2C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57B00" w14:textId="77777777" w:rsidR="000A0F87" w:rsidRDefault="000A0F87">
      <w:r>
        <w:separator/>
      </w:r>
    </w:p>
  </w:footnote>
  <w:footnote w:type="continuationSeparator" w:id="0">
    <w:p w14:paraId="3F212A47" w14:textId="77777777" w:rsidR="000A0F87" w:rsidRDefault="000A0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89BD5" w14:textId="77777777" w:rsidR="00672BDB" w:rsidRDefault="00672BDB" w:rsidP="00672BDB">
    <w:pPr>
      <w:pStyle w:val="Zhlav"/>
    </w:pPr>
    <w:r>
      <w:t xml:space="preserve">    </w:t>
    </w:r>
  </w:p>
  <w:p w14:paraId="050F09BB" w14:textId="77777777" w:rsidR="005B64B8" w:rsidRDefault="00D33C43">
    <w:pPr>
      <w:pStyle w:val="Zhlav"/>
    </w:pP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ACA5AF8"/>
    <w:multiLevelType w:val="hybridMultilevel"/>
    <w:tmpl w:val="5FCCABD6"/>
    <w:lvl w:ilvl="0" w:tplc="2E4EB94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1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2F0766BA"/>
    <w:multiLevelType w:val="hybridMultilevel"/>
    <w:tmpl w:val="8FAA00B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3207F"/>
    <w:multiLevelType w:val="hybridMultilevel"/>
    <w:tmpl w:val="61208C36"/>
    <w:lvl w:ilvl="0" w:tplc="2E4EB94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D2D55"/>
    <w:multiLevelType w:val="hybridMultilevel"/>
    <w:tmpl w:val="91167B24"/>
    <w:lvl w:ilvl="0" w:tplc="03B0C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3F65D8"/>
    <w:multiLevelType w:val="multilevel"/>
    <w:tmpl w:val="A02E932A"/>
    <w:numStyleLink w:val="BulletsAgency"/>
  </w:abstractNum>
  <w:abstractNum w:abstractNumId="30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1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5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7" w15:restartNumberingAfterBreak="0">
    <w:nsid w:val="662B5120"/>
    <w:multiLevelType w:val="hybridMultilevel"/>
    <w:tmpl w:val="BA1A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9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1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2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1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41"/>
  </w:num>
  <w:num w:numId="5">
    <w:abstractNumId w:val="40"/>
  </w:num>
  <w:num w:numId="6">
    <w:abstractNumId w:val="13"/>
  </w:num>
  <w:num w:numId="7">
    <w:abstractNumId w:val="25"/>
  </w:num>
  <w:num w:numId="8">
    <w:abstractNumId w:val="24"/>
  </w:num>
  <w:num w:numId="9">
    <w:abstractNumId w:val="8"/>
  </w:num>
  <w:num w:numId="10">
    <w:abstractNumId w:val="38"/>
  </w:num>
  <w:num w:numId="11">
    <w:abstractNumId w:val="39"/>
  </w:num>
  <w:num w:numId="12">
    <w:abstractNumId w:val="20"/>
  </w:num>
  <w:num w:numId="13">
    <w:abstractNumId w:val="15"/>
  </w:num>
  <w:num w:numId="14">
    <w:abstractNumId w:val="2"/>
  </w:num>
  <w:num w:numId="15">
    <w:abstractNumId w:val="36"/>
  </w:num>
  <w:num w:numId="16">
    <w:abstractNumId w:val="22"/>
  </w:num>
  <w:num w:numId="17">
    <w:abstractNumId w:val="42"/>
  </w:num>
  <w:num w:numId="18">
    <w:abstractNumId w:val="9"/>
  </w:num>
  <w:num w:numId="19">
    <w:abstractNumId w:val="1"/>
  </w:num>
  <w:num w:numId="20">
    <w:abstractNumId w:val="21"/>
  </w:num>
  <w:num w:numId="21">
    <w:abstractNumId w:val="3"/>
  </w:num>
  <w:num w:numId="22">
    <w:abstractNumId w:val="6"/>
  </w:num>
  <w:num w:numId="23">
    <w:abstractNumId w:val="30"/>
  </w:num>
  <w:num w:numId="24">
    <w:abstractNumId w:val="12"/>
  </w:num>
  <w:num w:numId="25">
    <w:abstractNumId w:val="35"/>
  </w:num>
  <w:num w:numId="26">
    <w:abstractNumId w:val="28"/>
  </w:num>
  <w:num w:numId="27">
    <w:abstractNumId w:val="14"/>
  </w:num>
  <w:num w:numId="28">
    <w:abstractNumId w:val="11"/>
  </w:num>
  <w:num w:numId="29">
    <w:abstractNumId w:val="23"/>
  </w:num>
  <w:num w:numId="30">
    <w:abstractNumId w:val="26"/>
  </w:num>
  <w:num w:numId="31">
    <w:abstractNumId w:val="17"/>
  </w:num>
  <w:num w:numId="32">
    <w:abstractNumId w:val="10"/>
  </w:num>
  <w:num w:numId="33">
    <w:abstractNumId w:val="33"/>
  </w:num>
  <w:num w:numId="34">
    <w:abstractNumId w:val="34"/>
  </w:num>
  <w:num w:numId="35">
    <w:abstractNumId w:val="32"/>
  </w:num>
  <w:num w:numId="36">
    <w:abstractNumId w:val="19"/>
  </w:num>
  <w:num w:numId="37">
    <w:abstractNumId w:val="4"/>
  </w:num>
  <w:num w:numId="38">
    <w:abstractNumId w:val="43"/>
  </w:num>
  <w:num w:numId="39">
    <w:abstractNumId w:val="16"/>
  </w:num>
  <w:num w:numId="40">
    <w:abstractNumId w:val="5"/>
  </w:num>
  <w:num w:numId="41">
    <w:abstractNumId w:val="29"/>
  </w:num>
  <w:num w:numId="42">
    <w:abstractNumId w:val="37"/>
  </w:num>
  <w:num w:numId="43">
    <w:abstractNumId w:val="27"/>
  </w:num>
  <w:num w:numId="44">
    <w:abstractNumId w:val="18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A219CA"/>
    <w:rsid w:val="00001467"/>
    <w:rsid w:val="000057C0"/>
    <w:rsid w:val="000072D5"/>
    <w:rsid w:val="00007F7A"/>
    <w:rsid w:val="00013853"/>
    <w:rsid w:val="00027A7D"/>
    <w:rsid w:val="00044181"/>
    <w:rsid w:val="00067640"/>
    <w:rsid w:val="00084DED"/>
    <w:rsid w:val="00085994"/>
    <w:rsid w:val="00095E3C"/>
    <w:rsid w:val="00096EDF"/>
    <w:rsid w:val="000A0F87"/>
    <w:rsid w:val="000A6B2C"/>
    <w:rsid w:val="000A7089"/>
    <w:rsid w:val="000B0471"/>
    <w:rsid w:val="000D76AA"/>
    <w:rsid w:val="000F1AB7"/>
    <w:rsid w:val="000F6914"/>
    <w:rsid w:val="00112A64"/>
    <w:rsid w:val="00116F84"/>
    <w:rsid w:val="00127128"/>
    <w:rsid w:val="00134B66"/>
    <w:rsid w:val="00135387"/>
    <w:rsid w:val="00140775"/>
    <w:rsid w:val="001443DA"/>
    <w:rsid w:val="00145CD8"/>
    <w:rsid w:val="00152E20"/>
    <w:rsid w:val="001556FD"/>
    <w:rsid w:val="00155E9D"/>
    <w:rsid w:val="001652DE"/>
    <w:rsid w:val="001723CB"/>
    <w:rsid w:val="001751C8"/>
    <w:rsid w:val="00175CFD"/>
    <w:rsid w:val="001940A9"/>
    <w:rsid w:val="00195B8E"/>
    <w:rsid w:val="00197203"/>
    <w:rsid w:val="001A0C83"/>
    <w:rsid w:val="001A22E6"/>
    <w:rsid w:val="001A24A9"/>
    <w:rsid w:val="001A5B3A"/>
    <w:rsid w:val="001B3584"/>
    <w:rsid w:val="001C6818"/>
    <w:rsid w:val="001D1228"/>
    <w:rsid w:val="001E0872"/>
    <w:rsid w:val="001E1F34"/>
    <w:rsid w:val="001F66B4"/>
    <w:rsid w:val="0020738F"/>
    <w:rsid w:val="00214AE3"/>
    <w:rsid w:val="0021701D"/>
    <w:rsid w:val="0025393A"/>
    <w:rsid w:val="002742A8"/>
    <w:rsid w:val="0027723E"/>
    <w:rsid w:val="00293BE7"/>
    <w:rsid w:val="00294D9B"/>
    <w:rsid w:val="00296924"/>
    <w:rsid w:val="002B1696"/>
    <w:rsid w:val="002B5535"/>
    <w:rsid w:val="002B7702"/>
    <w:rsid w:val="002C4E18"/>
    <w:rsid w:val="002E703B"/>
    <w:rsid w:val="002F6C40"/>
    <w:rsid w:val="00304FDA"/>
    <w:rsid w:val="003203F0"/>
    <w:rsid w:val="003224AE"/>
    <w:rsid w:val="00335A45"/>
    <w:rsid w:val="003450D0"/>
    <w:rsid w:val="00362DA6"/>
    <w:rsid w:val="00366F00"/>
    <w:rsid w:val="003676BE"/>
    <w:rsid w:val="00380090"/>
    <w:rsid w:val="00381254"/>
    <w:rsid w:val="003A7224"/>
    <w:rsid w:val="003B39DD"/>
    <w:rsid w:val="003C663E"/>
    <w:rsid w:val="003D4FDD"/>
    <w:rsid w:val="003E0D57"/>
    <w:rsid w:val="003E3E6C"/>
    <w:rsid w:val="003F25AB"/>
    <w:rsid w:val="003F7E7F"/>
    <w:rsid w:val="00401AB8"/>
    <w:rsid w:val="0040307F"/>
    <w:rsid w:val="00403374"/>
    <w:rsid w:val="00407CA9"/>
    <w:rsid w:val="00410FC4"/>
    <w:rsid w:val="004247DD"/>
    <w:rsid w:val="004454F9"/>
    <w:rsid w:val="00445750"/>
    <w:rsid w:val="00453EE6"/>
    <w:rsid w:val="00455F65"/>
    <w:rsid w:val="00464269"/>
    <w:rsid w:val="00470AD8"/>
    <w:rsid w:val="004746FC"/>
    <w:rsid w:val="00476943"/>
    <w:rsid w:val="0049115A"/>
    <w:rsid w:val="004A4A2C"/>
    <w:rsid w:val="004A6C10"/>
    <w:rsid w:val="004B2C8E"/>
    <w:rsid w:val="004D2D35"/>
    <w:rsid w:val="004D3940"/>
    <w:rsid w:val="004E2092"/>
    <w:rsid w:val="004E33B0"/>
    <w:rsid w:val="004F3604"/>
    <w:rsid w:val="00516BE8"/>
    <w:rsid w:val="00525669"/>
    <w:rsid w:val="00530E42"/>
    <w:rsid w:val="00554D84"/>
    <w:rsid w:val="0056452D"/>
    <w:rsid w:val="0056513C"/>
    <w:rsid w:val="00565381"/>
    <w:rsid w:val="005657D9"/>
    <w:rsid w:val="00567604"/>
    <w:rsid w:val="00586000"/>
    <w:rsid w:val="00591F57"/>
    <w:rsid w:val="00592696"/>
    <w:rsid w:val="005B64B8"/>
    <w:rsid w:val="005D3A18"/>
    <w:rsid w:val="005E27E9"/>
    <w:rsid w:val="005E376A"/>
    <w:rsid w:val="005E50A5"/>
    <w:rsid w:val="005E59AF"/>
    <w:rsid w:val="005F2E32"/>
    <w:rsid w:val="005F7959"/>
    <w:rsid w:val="005F7FA2"/>
    <w:rsid w:val="00603946"/>
    <w:rsid w:val="0063683D"/>
    <w:rsid w:val="006402C3"/>
    <w:rsid w:val="006669B8"/>
    <w:rsid w:val="00672BDB"/>
    <w:rsid w:val="00682E55"/>
    <w:rsid w:val="006873BA"/>
    <w:rsid w:val="006A2F72"/>
    <w:rsid w:val="006B39B0"/>
    <w:rsid w:val="006B7975"/>
    <w:rsid w:val="006C4941"/>
    <w:rsid w:val="006C733F"/>
    <w:rsid w:val="006D067E"/>
    <w:rsid w:val="006D2E0C"/>
    <w:rsid w:val="006D4FCD"/>
    <w:rsid w:val="006E2117"/>
    <w:rsid w:val="006E66ED"/>
    <w:rsid w:val="006F09CF"/>
    <w:rsid w:val="006F665B"/>
    <w:rsid w:val="00702703"/>
    <w:rsid w:val="00714D0D"/>
    <w:rsid w:val="00717DDF"/>
    <w:rsid w:val="00720F11"/>
    <w:rsid w:val="00725273"/>
    <w:rsid w:val="00730F7C"/>
    <w:rsid w:val="00734EA6"/>
    <w:rsid w:val="007379A1"/>
    <w:rsid w:val="00742EB3"/>
    <w:rsid w:val="00743009"/>
    <w:rsid w:val="00743110"/>
    <w:rsid w:val="00752EBC"/>
    <w:rsid w:val="007738B5"/>
    <w:rsid w:val="0077431E"/>
    <w:rsid w:val="007A5610"/>
    <w:rsid w:val="007C0932"/>
    <w:rsid w:val="007C495D"/>
    <w:rsid w:val="007C5608"/>
    <w:rsid w:val="007C6C15"/>
    <w:rsid w:val="007D27C4"/>
    <w:rsid w:val="007E7381"/>
    <w:rsid w:val="007F0B23"/>
    <w:rsid w:val="007F6A96"/>
    <w:rsid w:val="008039B0"/>
    <w:rsid w:val="008043EC"/>
    <w:rsid w:val="0081008D"/>
    <w:rsid w:val="00811107"/>
    <w:rsid w:val="008131D6"/>
    <w:rsid w:val="008147BE"/>
    <w:rsid w:val="00814F6C"/>
    <w:rsid w:val="0083095F"/>
    <w:rsid w:val="00836D30"/>
    <w:rsid w:val="00854608"/>
    <w:rsid w:val="00854B4B"/>
    <w:rsid w:val="00860B57"/>
    <w:rsid w:val="00870214"/>
    <w:rsid w:val="00871283"/>
    <w:rsid w:val="00874A5A"/>
    <w:rsid w:val="008758DA"/>
    <w:rsid w:val="0088105E"/>
    <w:rsid w:val="008963C9"/>
    <w:rsid w:val="008A1B4C"/>
    <w:rsid w:val="008A1D73"/>
    <w:rsid w:val="008B1355"/>
    <w:rsid w:val="008B7875"/>
    <w:rsid w:val="008C210D"/>
    <w:rsid w:val="008C4B3F"/>
    <w:rsid w:val="008E1461"/>
    <w:rsid w:val="0092405D"/>
    <w:rsid w:val="00924EA8"/>
    <w:rsid w:val="009370D5"/>
    <w:rsid w:val="00945D2D"/>
    <w:rsid w:val="00947B5B"/>
    <w:rsid w:val="00952792"/>
    <w:rsid w:val="00952E34"/>
    <w:rsid w:val="00953EB1"/>
    <w:rsid w:val="00955A6D"/>
    <w:rsid w:val="00963778"/>
    <w:rsid w:val="009638D4"/>
    <w:rsid w:val="00976E1F"/>
    <w:rsid w:val="00976F6A"/>
    <w:rsid w:val="00976FEC"/>
    <w:rsid w:val="009A2A10"/>
    <w:rsid w:val="009C3A33"/>
    <w:rsid w:val="009C5E42"/>
    <w:rsid w:val="009D1FE2"/>
    <w:rsid w:val="009D5C28"/>
    <w:rsid w:val="009D68AA"/>
    <w:rsid w:val="00A06E47"/>
    <w:rsid w:val="00A1034E"/>
    <w:rsid w:val="00A12093"/>
    <w:rsid w:val="00A121C4"/>
    <w:rsid w:val="00A219CA"/>
    <w:rsid w:val="00A304F8"/>
    <w:rsid w:val="00A3220C"/>
    <w:rsid w:val="00A33D05"/>
    <w:rsid w:val="00A51E19"/>
    <w:rsid w:val="00A60A84"/>
    <w:rsid w:val="00A738CB"/>
    <w:rsid w:val="00A84878"/>
    <w:rsid w:val="00A94807"/>
    <w:rsid w:val="00A95997"/>
    <w:rsid w:val="00AA3C2F"/>
    <w:rsid w:val="00AB4E6A"/>
    <w:rsid w:val="00AD2658"/>
    <w:rsid w:val="00AE3E60"/>
    <w:rsid w:val="00AF0F5F"/>
    <w:rsid w:val="00B05D73"/>
    <w:rsid w:val="00B1150B"/>
    <w:rsid w:val="00B41526"/>
    <w:rsid w:val="00B52AFE"/>
    <w:rsid w:val="00B62DA0"/>
    <w:rsid w:val="00B638FE"/>
    <w:rsid w:val="00B9334E"/>
    <w:rsid w:val="00B938AE"/>
    <w:rsid w:val="00BA7E09"/>
    <w:rsid w:val="00BC21D8"/>
    <w:rsid w:val="00BD0D80"/>
    <w:rsid w:val="00BD0F11"/>
    <w:rsid w:val="00BD6DD5"/>
    <w:rsid w:val="00BD7E5A"/>
    <w:rsid w:val="00BF04F5"/>
    <w:rsid w:val="00BF52CC"/>
    <w:rsid w:val="00C009AF"/>
    <w:rsid w:val="00C07EA4"/>
    <w:rsid w:val="00C124BB"/>
    <w:rsid w:val="00C16B7B"/>
    <w:rsid w:val="00C27C63"/>
    <w:rsid w:val="00C36E0D"/>
    <w:rsid w:val="00C420A0"/>
    <w:rsid w:val="00C55867"/>
    <w:rsid w:val="00C6041E"/>
    <w:rsid w:val="00C71CE4"/>
    <w:rsid w:val="00C7574D"/>
    <w:rsid w:val="00C82DDD"/>
    <w:rsid w:val="00C8461A"/>
    <w:rsid w:val="00C8498E"/>
    <w:rsid w:val="00C9401A"/>
    <w:rsid w:val="00CA0601"/>
    <w:rsid w:val="00CA0A9E"/>
    <w:rsid w:val="00CB1ED6"/>
    <w:rsid w:val="00CC1D5A"/>
    <w:rsid w:val="00CC6102"/>
    <w:rsid w:val="00CC7812"/>
    <w:rsid w:val="00CD6B64"/>
    <w:rsid w:val="00CE5251"/>
    <w:rsid w:val="00CF421C"/>
    <w:rsid w:val="00CF5161"/>
    <w:rsid w:val="00CF6131"/>
    <w:rsid w:val="00CF7CB3"/>
    <w:rsid w:val="00D029D1"/>
    <w:rsid w:val="00D03BD0"/>
    <w:rsid w:val="00D042A0"/>
    <w:rsid w:val="00D065B2"/>
    <w:rsid w:val="00D26FFF"/>
    <w:rsid w:val="00D33C43"/>
    <w:rsid w:val="00D479EE"/>
    <w:rsid w:val="00D6194B"/>
    <w:rsid w:val="00D61E95"/>
    <w:rsid w:val="00D629B6"/>
    <w:rsid w:val="00D86292"/>
    <w:rsid w:val="00D8668E"/>
    <w:rsid w:val="00DA2C11"/>
    <w:rsid w:val="00DA6885"/>
    <w:rsid w:val="00DC108F"/>
    <w:rsid w:val="00DC42F9"/>
    <w:rsid w:val="00DE1A2C"/>
    <w:rsid w:val="00DE2E3E"/>
    <w:rsid w:val="00DE44F8"/>
    <w:rsid w:val="00DF1B51"/>
    <w:rsid w:val="00DF2A42"/>
    <w:rsid w:val="00E048A0"/>
    <w:rsid w:val="00E100A9"/>
    <w:rsid w:val="00E32C0F"/>
    <w:rsid w:val="00E4017E"/>
    <w:rsid w:val="00E616EB"/>
    <w:rsid w:val="00E80297"/>
    <w:rsid w:val="00E85B9A"/>
    <w:rsid w:val="00E90E81"/>
    <w:rsid w:val="00E96E78"/>
    <w:rsid w:val="00E97859"/>
    <w:rsid w:val="00EA0E2A"/>
    <w:rsid w:val="00EA67B0"/>
    <w:rsid w:val="00EA74C5"/>
    <w:rsid w:val="00EB45EB"/>
    <w:rsid w:val="00EB566F"/>
    <w:rsid w:val="00EC0BFB"/>
    <w:rsid w:val="00EC0F88"/>
    <w:rsid w:val="00ED08CE"/>
    <w:rsid w:val="00ED3493"/>
    <w:rsid w:val="00EE6B91"/>
    <w:rsid w:val="00EF2486"/>
    <w:rsid w:val="00F02924"/>
    <w:rsid w:val="00F10A37"/>
    <w:rsid w:val="00F117C1"/>
    <w:rsid w:val="00F16315"/>
    <w:rsid w:val="00F22442"/>
    <w:rsid w:val="00F30D3F"/>
    <w:rsid w:val="00F3588A"/>
    <w:rsid w:val="00F45F6F"/>
    <w:rsid w:val="00F467E9"/>
    <w:rsid w:val="00F50BCE"/>
    <w:rsid w:val="00F51039"/>
    <w:rsid w:val="00F564C7"/>
    <w:rsid w:val="00F637CA"/>
    <w:rsid w:val="00F726F0"/>
    <w:rsid w:val="00F75554"/>
    <w:rsid w:val="00F83CAA"/>
    <w:rsid w:val="00FA1027"/>
    <w:rsid w:val="00FA4BEE"/>
    <w:rsid w:val="00FA6998"/>
    <w:rsid w:val="00FA777A"/>
    <w:rsid w:val="00FB0B82"/>
    <w:rsid w:val="00FB42E6"/>
    <w:rsid w:val="00FD14BF"/>
    <w:rsid w:val="00FE0172"/>
    <w:rsid w:val="00FE4BC2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D78CD6"/>
  <w15:chartTrackingRefBased/>
  <w15:docId w15:val="{04C51676-390B-4EB4-8976-D4421578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2"/>
      <w:lang w:val="cs-CZ"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left="2268" w:right="1711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rPr>
      <w:sz w:val="20"/>
    </w:rPr>
  </w:style>
  <w:style w:type="paragraph" w:styleId="Zkladntext">
    <w:name w:val="Body Text"/>
    <w:basedOn w:val="Normln"/>
  </w:style>
  <w:style w:type="paragraph" w:styleId="Textvbloku">
    <w:name w:val="Block Text"/>
    <w:basedOn w:val="Normln"/>
    <w:pPr>
      <w:ind w:left="2268" w:right="1711"/>
    </w:pPr>
    <w:rPr>
      <w:b/>
    </w:rPr>
  </w:style>
  <w:style w:type="paragraph" w:styleId="Zkladntext2">
    <w:name w:val="Body Text 2"/>
    <w:basedOn w:val="Normln"/>
    <w:rPr>
      <w:b/>
    </w:rPr>
  </w:style>
  <w:style w:type="paragraph" w:styleId="Zkladntext3">
    <w:name w:val="Body Text 3"/>
    <w:basedOn w:val="Normln"/>
    <w:pPr>
      <w:ind w:right="113"/>
    </w:pPr>
    <w:rPr>
      <w:b/>
    </w:rPr>
  </w:style>
  <w:style w:type="paragraph" w:styleId="Textvysvtlivek">
    <w:name w:val="endnote text"/>
    <w:basedOn w:val="Normln"/>
    <w:semiHidden/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rPr>
      <w:b/>
    </w:rPr>
  </w:style>
  <w:style w:type="paragraph" w:styleId="Textkomente">
    <w:name w:val="annotation text"/>
    <w:basedOn w:val="Normln"/>
    <w:link w:val="TextkomenteChar"/>
    <w:uiPriority w:val="99"/>
    <w:rPr>
      <w:sz w:val="20"/>
    </w:rPr>
  </w:style>
  <w:style w:type="paragraph" w:styleId="Zkladntextodsazen3">
    <w:name w:val="Body Text Indent 3"/>
    <w:basedOn w:val="Normln"/>
  </w:style>
  <w:style w:type="paragraph" w:customStyle="1" w:styleId="Bullet">
    <w:name w:val="Bullet"/>
    <w:basedOn w:val="Normln"/>
    <w:pPr>
      <w:numPr>
        <w:numId w:val="2"/>
      </w:numPr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32"/>
      </w:numPr>
      <w:spacing w:after="120"/>
    </w:pPr>
    <w:rPr>
      <w:rFonts w:ascii="Arial" w:hAnsi="Arial" w:cs="Arial"/>
      <w:b/>
      <w:bCs/>
      <w:sz w:val="24"/>
      <w:lang w:val="en-GB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rsid w:val="00155E9D"/>
    <w:pPr>
      <w:spacing w:after="120"/>
      <w:ind w:left="283"/>
    </w:pPr>
  </w:style>
  <w:style w:type="table" w:styleId="Mkatabulky">
    <w:name w:val="Table Grid"/>
    <w:basedOn w:val="Normlntabulka"/>
    <w:rsid w:val="00155E9D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Normln"/>
    <w:link w:val="BodytextAgencyChar"/>
    <w:rsid w:val="00953EB1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numbering" w:customStyle="1" w:styleId="BulletsAgency">
    <w:name w:val="Bullets (Agency)"/>
    <w:basedOn w:val="Bezseznamu"/>
    <w:rsid w:val="00953EB1"/>
    <w:pPr>
      <w:numPr>
        <w:numId w:val="40"/>
      </w:numPr>
    </w:pPr>
  </w:style>
  <w:style w:type="paragraph" w:customStyle="1" w:styleId="NormalAgency">
    <w:name w:val="Normal (Agency)"/>
    <w:link w:val="NormalAgencyChar"/>
    <w:rsid w:val="00953EB1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sid w:val="00953EB1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Calibri" w:hAnsi="Calibri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textrowsAgency">
    <w:name w:val="Table text rows (Agency)"/>
    <w:basedOn w:val="Normln"/>
    <w:semiHidden/>
    <w:rsid w:val="00953EB1"/>
    <w:pPr>
      <w:spacing w:line="280" w:lineRule="exact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BodytextAgencyChar">
    <w:name w:val="Body text (Agency) Char"/>
    <w:link w:val="BodytextAgency"/>
    <w:rsid w:val="00953EB1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953EB1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rmalold">
    <w:name w:val="Normal (old)"/>
    <w:basedOn w:val="Normln"/>
    <w:rsid w:val="00953EB1"/>
    <w:pPr>
      <w:ind w:left="720" w:hanging="720"/>
    </w:pPr>
    <w:rPr>
      <w:rFonts w:eastAsia="SimSun"/>
      <w:szCs w:val="18"/>
      <w:lang w:val="en-GB" w:eastAsia="zh-CN"/>
    </w:rPr>
  </w:style>
  <w:style w:type="paragraph" w:customStyle="1" w:styleId="Default">
    <w:name w:val="Default"/>
    <w:rsid w:val="00B52AFE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cs-CZ" w:eastAsia="cs-CZ"/>
    </w:rPr>
  </w:style>
  <w:style w:type="paragraph" w:customStyle="1" w:styleId="CM18">
    <w:name w:val="CM18"/>
    <w:basedOn w:val="Default"/>
    <w:next w:val="Default"/>
    <w:rsid w:val="00B52AFE"/>
    <w:pPr>
      <w:spacing w:after="260"/>
    </w:pPr>
    <w:rPr>
      <w:color w:val="auto"/>
    </w:rPr>
  </w:style>
  <w:style w:type="paragraph" w:styleId="Normlnodsazen">
    <w:name w:val="Normal Indent"/>
    <w:basedOn w:val="Normln"/>
    <w:rsid w:val="00CD6B64"/>
    <w:pPr>
      <w:tabs>
        <w:tab w:val="left" w:pos="1134"/>
      </w:tabs>
      <w:spacing w:after="120"/>
      <w:ind w:left="1134"/>
    </w:pPr>
    <w:rPr>
      <w:rFonts w:ascii="Arial" w:hAnsi="Arial"/>
      <w:sz w:val="20"/>
      <w:lang w:eastAsia="cs-CZ"/>
    </w:rPr>
  </w:style>
  <w:style w:type="character" w:customStyle="1" w:styleId="TextkomenteChar">
    <w:name w:val="Text komentáře Char"/>
    <w:link w:val="Textkomente"/>
    <w:uiPriority w:val="99"/>
    <w:rsid w:val="00CD6B64"/>
    <w:rPr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rsid w:val="00963778"/>
    <w:rPr>
      <w:b/>
      <w:bCs/>
    </w:rPr>
  </w:style>
  <w:style w:type="character" w:customStyle="1" w:styleId="PedmtkomenteChar">
    <w:name w:val="Předmět komentáře Char"/>
    <w:link w:val="Pedmtkomente"/>
    <w:rsid w:val="00963778"/>
    <w:rPr>
      <w:b/>
      <w:bCs/>
      <w:lang w:val="cs-CZ" w:eastAsia="en-US"/>
    </w:rPr>
  </w:style>
  <w:style w:type="character" w:customStyle="1" w:styleId="ZhlavChar">
    <w:name w:val="Záhlaví Char"/>
    <w:link w:val="Zhlav"/>
    <w:rsid w:val="00672BDB"/>
    <w:rPr>
      <w:rFonts w:ascii="Helvetica" w:hAnsi="Helvetica"/>
      <w:lang w:eastAsia="en-US"/>
    </w:rPr>
  </w:style>
  <w:style w:type="paragraph" w:styleId="Revize">
    <w:name w:val="Revision"/>
    <w:hidden/>
    <w:uiPriority w:val="99"/>
    <w:semiHidden/>
    <w:rsid w:val="003676BE"/>
    <w:rPr>
      <w:sz w:val="22"/>
      <w:lang w:val="cs-CZ" w:eastAsia="en-US"/>
    </w:rPr>
  </w:style>
  <w:style w:type="paragraph" w:customStyle="1" w:styleId="Style1">
    <w:name w:val="Style1"/>
    <w:basedOn w:val="Normln"/>
    <w:qFormat/>
    <w:rsid w:val="00A95997"/>
    <w:pPr>
      <w:tabs>
        <w:tab w:val="left" w:pos="0"/>
      </w:tabs>
    </w:pPr>
    <w:rPr>
      <w:b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4B2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543084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791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skvbl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styles" Target="styles.xml"/><Relationship Id="rId15" Type="http://schemas.openxmlformats.org/officeDocument/2006/relationships/image" Target="media/image1.jpeg"/><Relationship Id="rId10" Type="http://schemas.openxmlformats.org/officeDocument/2006/relationships/hyperlink" Target="mailto:adr@uskvbl.cz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rion@orionpharma.cz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723F5AE10FE448AFF43B34AC78DB72" ma:contentTypeVersion="11" ma:contentTypeDescription="Vytvoří nový dokument" ma:contentTypeScope="" ma:versionID="776b08123daac51af035427b59ba485d">
  <xsd:schema xmlns:xsd="http://www.w3.org/2001/XMLSchema" xmlns:xs="http://www.w3.org/2001/XMLSchema" xmlns:p="http://schemas.microsoft.com/office/2006/metadata/properties" xmlns:ns2="2599d74e-7310-4e5b-b6c2-af2ab798319e" xmlns:ns3="1b9cf7f5-58c3-42d9-9364-a8b3d8276a7f" targetNamespace="http://schemas.microsoft.com/office/2006/metadata/properties" ma:root="true" ma:fieldsID="794fabc27b6d941f586a14a44474739b" ns2:_="" ns3:_="">
    <xsd:import namespace="2599d74e-7310-4e5b-b6c2-af2ab798319e"/>
    <xsd:import namespace="1b9cf7f5-58c3-42d9-9364-a8b3d8276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9d74e-7310-4e5b-b6c2-af2ab7983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8828699f-0683-4782-97c0-287baa08b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cf7f5-58c3-42d9-9364-a8b3d8276a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1aea2b-fcbf-41c6-85c3-af12059d7384}" ma:internalName="TaxCatchAll" ma:showField="CatchAllData" ma:web="1b9cf7f5-58c3-42d9-9364-a8b3d8276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99d74e-7310-4e5b-b6c2-af2ab798319e">
      <Terms xmlns="http://schemas.microsoft.com/office/infopath/2007/PartnerControls"/>
    </lcf76f155ced4ddcb4097134ff3c332f>
    <TaxCatchAll xmlns="1b9cf7f5-58c3-42d9-9364-a8b3d8276a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FC125B-80FC-470F-ABA5-69078A52A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9d74e-7310-4e5b-b6c2-af2ab798319e"/>
    <ds:schemaRef ds:uri="1b9cf7f5-58c3-42d9-9364-a8b3d8276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570E4A-A08F-4E58-8DEC-C40F72B595D9}">
  <ds:schemaRefs>
    <ds:schemaRef ds:uri="http://schemas.microsoft.com/office/2006/metadata/properties"/>
    <ds:schemaRef ds:uri="http://schemas.microsoft.com/office/infopath/2007/PartnerControls"/>
    <ds:schemaRef ds:uri="2599d74e-7310-4e5b-b6c2-af2ab798319e"/>
    <ds:schemaRef ds:uri="1b9cf7f5-58c3-42d9-9364-a8b3d8276a7f"/>
  </ds:schemaRefs>
</ds:datastoreItem>
</file>

<file path=customXml/itemProps3.xml><?xml version="1.0" encoding="utf-8"?>
<ds:datastoreItem xmlns:ds="http://schemas.openxmlformats.org/officeDocument/2006/customXml" ds:itemID="{615B143E-C755-439D-9F35-1EA297DF46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2122</Words>
  <Characters>12523</Characters>
  <Application>Microsoft Office Word</Application>
  <DocSecurity>0</DocSecurity>
  <Lines>104</Lines>
  <Paragraphs>29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CS_qrd_veterinary template_v. 8.1_clean</vt:lpstr>
      <vt:lpstr>CS_qrd_veterinary template_v. 8.1_clean</vt:lpstr>
      <vt:lpstr>CS_qrd_veterinary template_v. 8.1_clean</vt:lpstr>
    </vt:vector>
  </TitlesOfParts>
  <Company/>
  <LinksUpToDate>false</LinksUpToDate>
  <CharactersWithSpaces>14616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CS_qrd_veterinary template_v. 8.1_clean</dc:title>
  <dc:subject/>
  <dc:creator>med-translations</dc:creator>
  <cp:keywords/>
  <cp:lastModifiedBy>Neugebauerová Kateřina</cp:lastModifiedBy>
  <cp:revision>27</cp:revision>
  <cp:lastPrinted>2025-08-13T05:22:00Z</cp:lastPrinted>
  <dcterms:created xsi:type="dcterms:W3CDTF">2025-03-13T09:29:00Z</dcterms:created>
  <dcterms:modified xsi:type="dcterms:W3CDTF">2025-08-13T05:22:00Z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Version">
    <vt:lpwstr>CURRENT,1.0</vt:lpwstr>
  </property>
  <property fmtid="{D5CDD505-2E9C-101B-9397-08002B2CF9AE}" pid="3" name="DM_Name">
    <vt:lpwstr>CS_qrd_veterinary template_v. 8.1_clean</vt:lpwstr>
  </property>
  <property fmtid="{D5CDD505-2E9C-101B-9397-08002B2CF9AE}" pid="4" name="DM_Creation_Date">
    <vt:lpwstr>07/02/2017 17:08:10</vt:lpwstr>
  </property>
  <property fmtid="{D5CDD505-2E9C-101B-9397-08002B2CF9AE}" pid="5" name="DM_Modify_Date">
    <vt:lpwstr>07/02/2017 17:08:10</vt:lpwstr>
  </property>
  <property fmtid="{D5CDD505-2E9C-101B-9397-08002B2CF9AE}" pid="6" name="DM_Creator_Name">
    <vt:lpwstr>Prizzi Monica</vt:lpwstr>
  </property>
  <property fmtid="{D5CDD505-2E9C-101B-9397-08002B2CF9AE}" pid="7" name="DM_Modifier_Name">
    <vt:lpwstr>Prizzi Monica</vt:lpwstr>
  </property>
  <property fmtid="{D5CDD505-2E9C-101B-9397-08002B2CF9AE}" pid="8" name="DM_Type">
    <vt:lpwstr>emea_document</vt:lpwstr>
  </property>
  <property fmtid="{D5CDD505-2E9C-101B-9397-08002B2CF9AE}" pid="9" name="DM_DocRefId">
    <vt:lpwstr>EMA/89123/2017</vt:lpwstr>
  </property>
  <property fmtid="{D5CDD505-2E9C-101B-9397-08002B2CF9AE}" pid="10" name="DM_Category">
    <vt:lpwstr>Templates and Form</vt:lpwstr>
  </property>
  <property fmtid="{D5CDD505-2E9C-101B-9397-08002B2CF9AE}" pid="11" name="DM_Path">
    <vt:lpwstr>/02b. Administration of Scientific Meeting/WPs SAGs DGs and other WGs/CxMP - QRD/3. Other activities/02. Procedures/01. QRD PI templates/02 QRD Veterinary templates/13 V-template v.8.1 - publication/03 All other languages vet QRD PI_for publication/01 Cle</vt:lpwstr>
  </property>
  <property fmtid="{D5CDD505-2E9C-101B-9397-08002B2CF9AE}" pid="12" name="DM_emea_doc_ref_id">
    <vt:lpwstr>EMA/89123/2017</vt:lpwstr>
  </property>
  <property fmtid="{D5CDD505-2E9C-101B-9397-08002B2CF9AE}" pid="13" name="DM_Modifer_Name">
    <vt:lpwstr>Prizzi Monica</vt:lpwstr>
  </property>
  <property fmtid="{D5CDD505-2E9C-101B-9397-08002B2CF9AE}" pid="14" name="DM_Modified_Date">
    <vt:lpwstr>07/02/2017 17:08:10</vt:lpwstr>
  </property>
  <property fmtid="{D5CDD505-2E9C-101B-9397-08002B2CF9AE}" pid="15" name="ContentTypeId">
    <vt:lpwstr>0x01010024723F5AE10FE448AFF43B34AC78DB72</vt:lpwstr>
  </property>
</Properties>
</file>