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5C23D6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096C1D6" w:rsidR="00C114FF" w:rsidRPr="005C23D6" w:rsidRDefault="00F23F90" w:rsidP="00C97A66">
      <w:pPr>
        <w:pStyle w:val="Style3"/>
        <w:numPr>
          <w:ilvl w:val="0"/>
          <w:numId w:val="0"/>
        </w:numPr>
      </w:pPr>
      <w:r>
        <w:t xml:space="preserve">B. </w:t>
      </w:r>
      <w:r w:rsidR="00C605FD" w:rsidRPr="005C23D6">
        <w:t>PŘÍBALOVÁ INFORMACE</w:t>
      </w:r>
    </w:p>
    <w:p w14:paraId="43EC8B49" w14:textId="77777777" w:rsidR="00C114FF" w:rsidRPr="005C23D6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5C23D6">
        <w:br w:type="page"/>
      </w:r>
      <w:r w:rsidRPr="005C23D6">
        <w:rPr>
          <w:b/>
          <w:szCs w:val="22"/>
        </w:rPr>
        <w:lastRenderedPageBreak/>
        <w:t>PŘÍBALOVÁ INFORMACE</w:t>
      </w:r>
    </w:p>
    <w:p w14:paraId="27F915C0" w14:textId="77777777" w:rsidR="00951118" w:rsidRPr="005C23D6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689447" w14:textId="77777777" w:rsidR="00466378" w:rsidRPr="005C23D6" w:rsidRDefault="004663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5C23D6" w:rsidRDefault="00C605FD" w:rsidP="00B13B6D">
      <w:pPr>
        <w:pStyle w:val="Style1"/>
      </w:pPr>
      <w:r w:rsidRPr="005C23D6">
        <w:rPr>
          <w:highlight w:val="lightGray"/>
        </w:rPr>
        <w:t>1.</w:t>
      </w:r>
      <w:r w:rsidRPr="005C23D6">
        <w:tab/>
        <w:t>Název veterinárního léčivého přípravku</w:t>
      </w:r>
    </w:p>
    <w:p w14:paraId="15739A9F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51DCB2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0" w:name="_Hlk201917357"/>
      <w:proofErr w:type="spellStart"/>
      <w:r w:rsidRPr="005C23D6">
        <w:rPr>
          <w:szCs w:val="22"/>
        </w:rPr>
        <w:t>Torphadine</w:t>
      </w:r>
      <w:proofErr w:type="spellEnd"/>
      <w:r w:rsidRPr="005C23D6">
        <w:rPr>
          <w:szCs w:val="22"/>
        </w:rPr>
        <w:t xml:space="preserve"> 10 mg/ml injekční roztok pro psy, kočky a koně </w:t>
      </w:r>
    </w:p>
    <w:bookmarkEnd w:id="0"/>
    <w:p w14:paraId="7D95498F" w14:textId="77777777" w:rsidR="0091648F" w:rsidRPr="005C23D6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5C23D6" w:rsidRDefault="00C605FD" w:rsidP="00B13B6D">
      <w:pPr>
        <w:pStyle w:val="Style1"/>
      </w:pPr>
      <w:r w:rsidRPr="005C23D6">
        <w:rPr>
          <w:highlight w:val="lightGray"/>
        </w:rPr>
        <w:t>2.</w:t>
      </w:r>
      <w:r w:rsidRPr="005C23D6">
        <w:tab/>
        <w:t>Složení</w:t>
      </w:r>
    </w:p>
    <w:p w14:paraId="7BCD36FA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57060B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5C23D6">
        <w:rPr>
          <w:szCs w:val="22"/>
        </w:rPr>
        <w:t>Každý ml obsahuje:</w:t>
      </w:r>
    </w:p>
    <w:p w14:paraId="5B8F8DB1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D3B93E5" w14:textId="796AFC2A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5C23D6">
        <w:rPr>
          <w:b/>
          <w:bCs/>
          <w:szCs w:val="22"/>
        </w:rPr>
        <w:t>Léčivá látka</w:t>
      </w:r>
      <w:r w:rsidRPr="005C23D6">
        <w:rPr>
          <w:szCs w:val="22"/>
        </w:rPr>
        <w:t>:</w:t>
      </w:r>
      <w:r w:rsidRPr="005C23D6">
        <w:rPr>
          <w:szCs w:val="22"/>
        </w:rPr>
        <w:tab/>
      </w:r>
    </w:p>
    <w:p w14:paraId="61A594CD" w14:textId="3AA6F34B" w:rsidR="00466378" w:rsidRPr="005C23D6" w:rsidRDefault="00466378" w:rsidP="00466378">
      <w:pPr>
        <w:tabs>
          <w:tab w:val="clear" w:pos="567"/>
          <w:tab w:val="left" w:pos="2127"/>
          <w:tab w:val="left" w:pos="2835"/>
        </w:tabs>
        <w:spacing w:line="240" w:lineRule="auto"/>
        <w:jc w:val="both"/>
        <w:rPr>
          <w:szCs w:val="22"/>
        </w:rPr>
      </w:pPr>
      <w:proofErr w:type="spellStart"/>
      <w:r w:rsidRPr="005C23D6">
        <w:rPr>
          <w:szCs w:val="22"/>
        </w:rPr>
        <w:t>Butorphanolum</w:t>
      </w:r>
      <w:proofErr w:type="spellEnd"/>
      <w:r w:rsidRPr="005C23D6">
        <w:rPr>
          <w:szCs w:val="22"/>
        </w:rPr>
        <w:t xml:space="preserve"> </w:t>
      </w:r>
      <w:r w:rsidR="0068612D">
        <w:rPr>
          <w:szCs w:val="22"/>
        </w:rPr>
        <w:tab/>
      </w:r>
      <w:r w:rsidR="0068612D">
        <w:rPr>
          <w:szCs w:val="22"/>
        </w:rPr>
        <w:tab/>
      </w:r>
      <w:r w:rsidR="0068612D">
        <w:rPr>
          <w:szCs w:val="22"/>
        </w:rPr>
        <w:tab/>
      </w:r>
      <w:r w:rsidR="0068612D">
        <w:rPr>
          <w:szCs w:val="22"/>
        </w:rPr>
        <w:tab/>
      </w:r>
      <w:r w:rsidRPr="005C23D6">
        <w:rPr>
          <w:szCs w:val="22"/>
        </w:rPr>
        <w:t>10,0 mg</w:t>
      </w:r>
    </w:p>
    <w:p w14:paraId="284A69CB" w14:textId="374CADC3" w:rsidR="00466378" w:rsidRPr="005C23D6" w:rsidRDefault="00466378" w:rsidP="00466378">
      <w:pPr>
        <w:tabs>
          <w:tab w:val="clear" w:pos="567"/>
          <w:tab w:val="left" w:pos="2835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(odpovídá </w:t>
      </w:r>
      <w:proofErr w:type="spellStart"/>
      <w:r w:rsidRPr="005C23D6">
        <w:rPr>
          <w:szCs w:val="22"/>
        </w:rPr>
        <w:t>butorphanoli</w:t>
      </w:r>
      <w:proofErr w:type="spellEnd"/>
      <w:r w:rsidRPr="005C23D6">
        <w:rPr>
          <w:szCs w:val="22"/>
        </w:rPr>
        <w:t xml:space="preserve"> </w:t>
      </w:r>
      <w:proofErr w:type="spellStart"/>
      <w:r w:rsidRPr="005C23D6">
        <w:rPr>
          <w:szCs w:val="22"/>
        </w:rPr>
        <w:t>tartras</w:t>
      </w:r>
      <w:proofErr w:type="spellEnd"/>
      <w:r w:rsidRPr="005C23D6">
        <w:rPr>
          <w:szCs w:val="22"/>
        </w:rPr>
        <w:t xml:space="preserve"> </w:t>
      </w:r>
      <w:r w:rsidR="0068612D">
        <w:rPr>
          <w:szCs w:val="22"/>
        </w:rPr>
        <w:tab/>
      </w:r>
      <w:r w:rsidR="0068612D">
        <w:rPr>
          <w:szCs w:val="22"/>
        </w:rPr>
        <w:tab/>
      </w:r>
      <w:r w:rsidR="0068612D">
        <w:rPr>
          <w:szCs w:val="22"/>
        </w:rPr>
        <w:tab/>
      </w:r>
      <w:r w:rsidRPr="005C23D6">
        <w:rPr>
          <w:szCs w:val="22"/>
        </w:rPr>
        <w:t>14,58 mg)</w:t>
      </w:r>
    </w:p>
    <w:p w14:paraId="49C96B1C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F1EED42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5C23D6">
        <w:rPr>
          <w:b/>
          <w:bCs/>
          <w:szCs w:val="22"/>
        </w:rPr>
        <w:t>Pomocné látky</w:t>
      </w:r>
      <w:r w:rsidRPr="005C23D6">
        <w:rPr>
          <w:szCs w:val="22"/>
        </w:rPr>
        <w:t>:</w:t>
      </w:r>
    </w:p>
    <w:p w14:paraId="7080DFE1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5C23D6">
        <w:rPr>
          <w:szCs w:val="22"/>
        </w:rPr>
        <w:t>Benzethonium</w:t>
      </w:r>
      <w:proofErr w:type="spellEnd"/>
      <w:r w:rsidRPr="005C23D6">
        <w:rPr>
          <w:szCs w:val="22"/>
        </w:rPr>
        <w:t>-chlorid 0,10 mg</w:t>
      </w:r>
    </w:p>
    <w:p w14:paraId="1B19B1F4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3CC90D1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5C23D6">
        <w:rPr>
          <w:szCs w:val="22"/>
        </w:rPr>
        <w:t>Čirý bezbarvý roztok.</w:t>
      </w:r>
    </w:p>
    <w:p w14:paraId="582F9181" w14:textId="77777777" w:rsidR="0091648F" w:rsidRPr="005C23D6" w:rsidRDefault="0091648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5C23D6" w:rsidRDefault="00C605FD" w:rsidP="00B13B6D">
      <w:pPr>
        <w:pStyle w:val="Style1"/>
      </w:pPr>
      <w:r w:rsidRPr="005C23D6">
        <w:rPr>
          <w:highlight w:val="lightGray"/>
        </w:rPr>
        <w:t>3.</w:t>
      </w:r>
      <w:r w:rsidRPr="005C23D6">
        <w:tab/>
        <w:t>Cílové druhy zvířat</w:t>
      </w:r>
    </w:p>
    <w:p w14:paraId="3A82A245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D9793" w14:textId="4B1A1F0C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Psi, kočky a koně</w:t>
      </w:r>
      <w:r w:rsidR="004369CE">
        <w:rPr>
          <w:szCs w:val="22"/>
        </w:rPr>
        <w:t>.</w:t>
      </w:r>
    </w:p>
    <w:p w14:paraId="4873EA28" w14:textId="77777777" w:rsidR="0091648F" w:rsidRPr="005C23D6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5C23D6" w:rsidRDefault="00C605FD" w:rsidP="00B13B6D">
      <w:pPr>
        <w:pStyle w:val="Style1"/>
      </w:pPr>
      <w:r w:rsidRPr="005C23D6">
        <w:rPr>
          <w:highlight w:val="lightGray"/>
        </w:rPr>
        <w:t>4.</w:t>
      </w:r>
      <w:r w:rsidRPr="005C23D6">
        <w:tab/>
        <w:t>Indikace pro použití</w:t>
      </w:r>
    </w:p>
    <w:p w14:paraId="72A5B8D6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7D2520" w14:textId="4054E826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C23D6">
        <w:rPr>
          <w:szCs w:val="22"/>
          <w:u w:val="single"/>
        </w:rPr>
        <w:t>Pes</w:t>
      </w:r>
      <w:r w:rsidR="0068612D" w:rsidRPr="00C97A66">
        <w:rPr>
          <w:szCs w:val="22"/>
        </w:rPr>
        <w:t>:</w:t>
      </w:r>
    </w:p>
    <w:p w14:paraId="0C0634D0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5C23D6">
        <w:rPr>
          <w:i/>
          <w:iCs/>
          <w:szCs w:val="22"/>
        </w:rPr>
        <w:t>Jako analgetikum:</w:t>
      </w:r>
    </w:p>
    <w:p w14:paraId="6524D086" w14:textId="77777777" w:rsidR="00466378" w:rsidRPr="005C23D6" w:rsidRDefault="00466378" w:rsidP="00466378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Úleva od mírné až středně silné bolesti </w:t>
      </w:r>
      <w:r w:rsidRPr="005C23D6">
        <w:rPr>
          <w:color w:val="000000"/>
          <w:szCs w:val="22"/>
        </w:rPr>
        <w:t>viscerálního původu</w:t>
      </w:r>
      <w:r w:rsidRPr="005C23D6">
        <w:rPr>
          <w:szCs w:val="22"/>
        </w:rPr>
        <w:t xml:space="preserve">. </w:t>
      </w:r>
    </w:p>
    <w:p w14:paraId="50609106" w14:textId="77777777" w:rsidR="00466378" w:rsidRPr="005C23D6" w:rsidRDefault="00466378" w:rsidP="00466378">
      <w:pPr>
        <w:tabs>
          <w:tab w:val="clear" w:pos="567"/>
        </w:tabs>
        <w:spacing w:line="240" w:lineRule="auto"/>
        <w:ind w:left="567" w:hanging="567"/>
        <w:rPr>
          <w:i/>
          <w:iCs/>
          <w:szCs w:val="22"/>
        </w:rPr>
      </w:pPr>
      <w:r w:rsidRPr="005C23D6">
        <w:rPr>
          <w:i/>
          <w:iCs/>
          <w:szCs w:val="22"/>
        </w:rPr>
        <w:t>Jako sedativum:</w:t>
      </w:r>
    </w:p>
    <w:p w14:paraId="23A8860C" w14:textId="12E94572" w:rsidR="00466378" w:rsidRPr="005C23D6" w:rsidRDefault="00466378" w:rsidP="00466378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C23D6">
        <w:rPr>
          <w:szCs w:val="22"/>
        </w:rPr>
        <w:t>Sedace</w:t>
      </w:r>
      <w:proofErr w:type="spellEnd"/>
      <w:r w:rsidRPr="005C23D6" w:rsidDel="00197968">
        <w:rPr>
          <w:szCs w:val="22"/>
        </w:rPr>
        <w:t xml:space="preserve"> </w:t>
      </w:r>
      <w:r w:rsidRPr="005C23D6">
        <w:rPr>
          <w:szCs w:val="22"/>
        </w:rPr>
        <w:t>při použití v kombinaci s </w:t>
      </w:r>
      <w:r w:rsidR="00FC23B4">
        <w:rPr>
          <w:szCs w:val="22"/>
        </w:rPr>
        <w:t>určit</w:t>
      </w:r>
      <w:r w:rsidR="00FC23B4" w:rsidRPr="005C23D6">
        <w:rPr>
          <w:szCs w:val="22"/>
        </w:rPr>
        <w:t xml:space="preserve">ými </w:t>
      </w:r>
      <w:r w:rsidRPr="005C23D6">
        <w:rPr>
          <w:szCs w:val="22"/>
        </w:rPr>
        <w:t>agonisty alfa2-adrenoreceptorů (</w:t>
      </w:r>
      <w:proofErr w:type="spellStart"/>
      <w:r w:rsidRPr="005C23D6">
        <w:rPr>
          <w:szCs w:val="22"/>
        </w:rPr>
        <w:t>medetomidin</w:t>
      </w:r>
      <w:proofErr w:type="spellEnd"/>
      <w:r w:rsidRPr="005C23D6">
        <w:rPr>
          <w:szCs w:val="22"/>
        </w:rPr>
        <w:t xml:space="preserve">). </w:t>
      </w:r>
    </w:p>
    <w:p w14:paraId="132B3F4C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5C23D6">
        <w:rPr>
          <w:i/>
          <w:iCs/>
          <w:szCs w:val="22"/>
        </w:rPr>
        <w:t>Jako premedikace před celkovou anestezií:</w:t>
      </w:r>
    </w:p>
    <w:p w14:paraId="7D27FE47" w14:textId="77777777" w:rsidR="00466378" w:rsidRPr="005C23D6" w:rsidRDefault="00466378" w:rsidP="00466378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Použití v kombinaci s </w:t>
      </w:r>
      <w:proofErr w:type="spellStart"/>
      <w:r w:rsidRPr="005C23D6">
        <w:rPr>
          <w:szCs w:val="22"/>
        </w:rPr>
        <w:t>acepromazinem</w:t>
      </w:r>
      <w:proofErr w:type="spellEnd"/>
      <w:r w:rsidRPr="005C23D6">
        <w:rPr>
          <w:szCs w:val="22"/>
        </w:rPr>
        <w:t xml:space="preserve"> pro dosažení analgezie a </w:t>
      </w:r>
      <w:proofErr w:type="spellStart"/>
      <w:r w:rsidRPr="005C23D6">
        <w:rPr>
          <w:szCs w:val="22"/>
        </w:rPr>
        <w:t>sedace</w:t>
      </w:r>
      <w:proofErr w:type="spellEnd"/>
      <w:r w:rsidRPr="005C23D6">
        <w:rPr>
          <w:szCs w:val="22"/>
        </w:rPr>
        <w:t xml:space="preserve"> před indukcí celkové anestezie. Umožňuje rovněž snížení dávky indukčního anestetika (</w:t>
      </w:r>
      <w:proofErr w:type="spellStart"/>
      <w:r w:rsidRPr="005C23D6">
        <w:rPr>
          <w:szCs w:val="22"/>
        </w:rPr>
        <w:t>propofolu</w:t>
      </w:r>
      <w:proofErr w:type="spellEnd"/>
      <w:r w:rsidRPr="005C23D6">
        <w:rPr>
          <w:szCs w:val="22"/>
        </w:rPr>
        <w:t xml:space="preserve"> nebo </w:t>
      </w:r>
      <w:proofErr w:type="spellStart"/>
      <w:r w:rsidRPr="005C23D6">
        <w:rPr>
          <w:szCs w:val="22"/>
        </w:rPr>
        <w:t>thiopentalu</w:t>
      </w:r>
      <w:proofErr w:type="spellEnd"/>
      <w:r w:rsidRPr="005C23D6">
        <w:rPr>
          <w:szCs w:val="22"/>
        </w:rPr>
        <w:t xml:space="preserve">). </w:t>
      </w:r>
    </w:p>
    <w:p w14:paraId="0252E86D" w14:textId="77777777" w:rsidR="00466378" w:rsidRPr="005C23D6" w:rsidRDefault="00466378" w:rsidP="00466378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K premedikaci, podat jako jediný </w:t>
      </w:r>
      <w:proofErr w:type="spellStart"/>
      <w:r w:rsidRPr="005C23D6">
        <w:rPr>
          <w:szCs w:val="22"/>
        </w:rPr>
        <w:t>preanestetický</w:t>
      </w:r>
      <w:proofErr w:type="spellEnd"/>
      <w:r w:rsidRPr="005C23D6">
        <w:rPr>
          <w:szCs w:val="22"/>
        </w:rPr>
        <w:t xml:space="preserve"> přípravek.</w:t>
      </w:r>
    </w:p>
    <w:p w14:paraId="41AB502D" w14:textId="77777777" w:rsidR="00466378" w:rsidRPr="005C23D6" w:rsidRDefault="00466378" w:rsidP="00466378">
      <w:pPr>
        <w:tabs>
          <w:tab w:val="clear" w:pos="567"/>
        </w:tabs>
        <w:spacing w:line="240" w:lineRule="auto"/>
        <w:ind w:left="567" w:hanging="567"/>
        <w:rPr>
          <w:i/>
          <w:iCs/>
          <w:szCs w:val="22"/>
        </w:rPr>
      </w:pPr>
      <w:r w:rsidRPr="005C23D6">
        <w:rPr>
          <w:i/>
          <w:iCs/>
          <w:szCs w:val="22"/>
        </w:rPr>
        <w:t>Jako anestetikum:</w:t>
      </w:r>
    </w:p>
    <w:p w14:paraId="642F9920" w14:textId="77777777" w:rsidR="00466378" w:rsidRPr="005C23D6" w:rsidRDefault="00466378" w:rsidP="00466378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Anestezie při použití v kombinaci s </w:t>
      </w:r>
      <w:proofErr w:type="spellStart"/>
      <w:r w:rsidRPr="005C23D6">
        <w:rPr>
          <w:szCs w:val="22"/>
        </w:rPr>
        <w:t>medetomidinem</w:t>
      </w:r>
      <w:proofErr w:type="spellEnd"/>
      <w:r w:rsidRPr="005C23D6">
        <w:rPr>
          <w:szCs w:val="22"/>
        </w:rPr>
        <w:t xml:space="preserve"> a </w:t>
      </w:r>
      <w:proofErr w:type="spellStart"/>
      <w:r w:rsidRPr="005C23D6">
        <w:rPr>
          <w:szCs w:val="22"/>
        </w:rPr>
        <w:t>ketaminem</w:t>
      </w:r>
      <w:proofErr w:type="spellEnd"/>
    </w:p>
    <w:p w14:paraId="11125C1C" w14:textId="77777777" w:rsidR="00466378" w:rsidRPr="005C23D6" w:rsidRDefault="00466378" w:rsidP="00466378">
      <w:pPr>
        <w:spacing w:line="240" w:lineRule="auto"/>
        <w:jc w:val="both"/>
        <w:rPr>
          <w:bCs/>
          <w:szCs w:val="22"/>
        </w:rPr>
      </w:pPr>
    </w:p>
    <w:p w14:paraId="08645ED7" w14:textId="798B1AB9" w:rsidR="00466378" w:rsidRPr="005C23D6" w:rsidRDefault="00466378" w:rsidP="00466378">
      <w:pPr>
        <w:spacing w:line="240" w:lineRule="auto"/>
        <w:jc w:val="both"/>
        <w:rPr>
          <w:szCs w:val="22"/>
          <w:u w:val="single"/>
        </w:rPr>
      </w:pPr>
      <w:r w:rsidRPr="005C23D6">
        <w:rPr>
          <w:szCs w:val="22"/>
          <w:u w:val="single"/>
        </w:rPr>
        <w:t>Kočka</w:t>
      </w:r>
      <w:r w:rsidR="0068612D" w:rsidRPr="00C97A66">
        <w:rPr>
          <w:szCs w:val="22"/>
        </w:rPr>
        <w:t>:</w:t>
      </w:r>
    </w:p>
    <w:p w14:paraId="0D970838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5C23D6">
        <w:rPr>
          <w:i/>
          <w:iCs/>
          <w:szCs w:val="22"/>
        </w:rPr>
        <w:t xml:space="preserve">Jako analgetikum pro úlevu od středně silné bolesti: </w:t>
      </w:r>
    </w:p>
    <w:p w14:paraId="762302F7" w14:textId="77777777" w:rsidR="00466378" w:rsidRPr="005C23D6" w:rsidRDefault="00466378" w:rsidP="00466378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Předoperační použití k poskytnutí analgezie během chirurgického zákroku. </w:t>
      </w:r>
    </w:p>
    <w:p w14:paraId="3835A788" w14:textId="77777777" w:rsidR="00466378" w:rsidRPr="005C23D6" w:rsidRDefault="00466378" w:rsidP="00466378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Pooperační analgezie po drobných chirurgických zákrocích. </w:t>
      </w:r>
    </w:p>
    <w:p w14:paraId="7D68D229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5C23D6">
        <w:rPr>
          <w:i/>
          <w:iCs/>
          <w:szCs w:val="22"/>
        </w:rPr>
        <w:t>Jako sedativum:</w:t>
      </w:r>
    </w:p>
    <w:p w14:paraId="39537338" w14:textId="77777777" w:rsidR="00466378" w:rsidRPr="005C23D6" w:rsidRDefault="00466378" w:rsidP="00466378">
      <w:pPr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C23D6">
        <w:rPr>
          <w:szCs w:val="22"/>
        </w:rPr>
        <w:t>Sedace</w:t>
      </w:r>
      <w:proofErr w:type="spellEnd"/>
      <w:r w:rsidRPr="005C23D6">
        <w:rPr>
          <w:szCs w:val="22"/>
        </w:rPr>
        <w:t xml:space="preserve"> při použití v kombinaci s některými agonisty alfa2-adrenoreceptorů (</w:t>
      </w:r>
      <w:proofErr w:type="spellStart"/>
      <w:r w:rsidRPr="005C23D6">
        <w:rPr>
          <w:szCs w:val="22"/>
        </w:rPr>
        <w:t>medetomidin</w:t>
      </w:r>
      <w:proofErr w:type="spellEnd"/>
      <w:r w:rsidRPr="005C23D6">
        <w:rPr>
          <w:szCs w:val="22"/>
        </w:rPr>
        <w:t xml:space="preserve">). </w:t>
      </w:r>
    </w:p>
    <w:p w14:paraId="5177FCCA" w14:textId="77777777" w:rsidR="00466378" w:rsidRPr="005C23D6" w:rsidRDefault="00466378" w:rsidP="00466378">
      <w:pPr>
        <w:tabs>
          <w:tab w:val="clear" w:pos="567"/>
        </w:tabs>
        <w:spacing w:line="240" w:lineRule="auto"/>
        <w:ind w:left="567" w:hanging="567"/>
        <w:rPr>
          <w:i/>
          <w:iCs/>
          <w:szCs w:val="22"/>
        </w:rPr>
      </w:pPr>
      <w:r w:rsidRPr="005C23D6">
        <w:rPr>
          <w:i/>
          <w:iCs/>
          <w:szCs w:val="22"/>
        </w:rPr>
        <w:t>Jako anestetikum:</w:t>
      </w:r>
    </w:p>
    <w:p w14:paraId="0329BC3C" w14:textId="77777777" w:rsidR="00466378" w:rsidRPr="005C23D6" w:rsidRDefault="00466378" w:rsidP="00466378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Anestezie při použití v kombinaci s </w:t>
      </w:r>
      <w:proofErr w:type="spellStart"/>
      <w:r w:rsidRPr="005C23D6">
        <w:rPr>
          <w:szCs w:val="22"/>
        </w:rPr>
        <w:t>medetomidinem</w:t>
      </w:r>
      <w:proofErr w:type="spellEnd"/>
      <w:r w:rsidRPr="005C23D6">
        <w:rPr>
          <w:szCs w:val="22"/>
        </w:rPr>
        <w:t xml:space="preserve"> a </w:t>
      </w:r>
      <w:proofErr w:type="spellStart"/>
      <w:r w:rsidRPr="005C23D6">
        <w:rPr>
          <w:szCs w:val="22"/>
        </w:rPr>
        <w:t>ketaminem</w:t>
      </w:r>
      <w:proofErr w:type="spellEnd"/>
      <w:r w:rsidRPr="005C23D6">
        <w:rPr>
          <w:szCs w:val="22"/>
        </w:rPr>
        <w:t>, vhodné pro krátké bolestivé zákroky.</w:t>
      </w:r>
    </w:p>
    <w:p w14:paraId="7326FE05" w14:textId="4493794F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C23D6">
        <w:rPr>
          <w:szCs w:val="22"/>
          <w:u w:val="single"/>
        </w:rPr>
        <w:t>Kůň</w:t>
      </w:r>
      <w:r w:rsidR="0068612D" w:rsidRPr="00C97A66">
        <w:rPr>
          <w:szCs w:val="22"/>
        </w:rPr>
        <w:t>:</w:t>
      </w:r>
    </w:p>
    <w:p w14:paraId="39EBF6D0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5C23D6">
        <w:rPr>
          <w:i/>
          <w:iCs/>
          <w:szCs w:val="22"/>
        </w:rPr>
        <w:t>Jako analgetikum:</w:t>
      </w:r>
    </w:p>
    <w:p w14:paraId="2C6850D2" w14:textId="77777777" w:rsidR="00466378" w:rsidRPr="005C23D6" w:rsidRDefault="00466378" w:rsidP="00466378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Úleva od středně silné až silné bolesti břicha spojené s kolikou gastrointestinálního původu. </w:t>
      </w:r>
    </w:p>
    <w:p w14:paraId="38F1582A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5C23D6">
        <w:rPr>
          <w:i/>
          <w:iCs/>
          <w:szCs w:val="22"/>
        </w:rPr>
        <w:t>Jako sedativum:</w:t>
      </w:r>
    </w:p>
    <w:p w14:paraId="1DD00EDD" w14:textId="77777777" w:rsidR="00466378" w:rsidRPr="005C23D6" w:rsidRDefault="00466378" w:rsidP="00466378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C23D6">
        <w:rPr>
          <w:szCs w:val="22"/>
        </w:rPr>
        <w:t>Sedace</w:t>
      </w:r>
      <w:proofErr w:type="spellEnd"/>
      <w:r w:rsidRPr="005C23D6">
        <w:rPr>
          <w:szCs w:val="22"/>
        </w:rPr>
        <w:t xml:space="preserve"> po podání některých agonistů alfa2-adrenoreceptorů (</w:t>
      </w:r>
      <w:proofErr w:type="spellStart"/>
      <w:r w:rsidRPr="005C23D6">
        <w:rPr>
          <w:szCs w:val="22"/>
        </w:rPr>
        <w:t>detomidin</w:t>
      </w:r>
      <w:proofErr w:type="spellEnd"/>
      <w:r w:rsidRPr="005C23D6">
        <w:rPr>
          <w:szCs w:val="22"/>
        </w:rPr>
        <w:t xml:space="preserve">, </w:t>
      </w:r>
      <w:proofErr w:type="spellStart"/>
      <w:r w:rsidRPr="005C23D6">
        <w:rPr>
          <w:szCs w:val="22"/>
        </w:rPr>
        <w:t>romifidin</w:t>
      </w:r>
      <w:proofErr w:type="spellEnd"/>
      <w:r w:rsidRPr="005C23D6">
        <w:rPr>
          <w:szCs w:val="22"/>
        </w:rPr>
        <w:t xml:space="preserve">). </w:t>
      </w:r>
    </w:p>
    <w:p w14:paraId="5AB0DC3B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7DAF0E" w14:textId="77777777" w:rsidR="0091648F" w:rsidRPr="005C23D6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5C23D6" w:rsidRDefault="00C605FD" w:rsidP="00B13B6D">
      <w:pPr>
        <w:pStyle w:val="Style1"/>
      </w:pPr>
      <w:r w:rsidRPr="005C23D6">
        <w:rPr>
          <w:highlight w:val="lightGray"/>
        </w:rPr>
        <w:lastRenderedPageBreak/>
        <w:t>5.</w:t>
      </w:r>
      <w:r w:rsidRPr="005C23D6">
        <w:tab/>
        <w:t>Kontraindikace</w:t>
      </w:r>
    </w:p>
    <w:p w14:paraId="18AC33E5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9EB00A" w14:textId="58B2742E" w:rsidR="00466378" w:rsidRPr="005C23D6" w:rsidRDefault="00466378" w:rsidP="00466378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  <w:r w:rsidRPr="005C23D6">
        <w:rPr>
          <w:szCs w:val="22"/>
          <w:u w:val="single"/>
        </w:rPr>
        <w:t>Všechny cílové druhy zvířat</w:t>
      </w:r>
      <w:r w:rsidR="002B361B" w:rsidRPr="00C97A66">
        <w:rPr>
          <w:szCs w:val="22"/>
        </w:rPr>
        <w:t>:</w:t>
      </w:r>
    </w:p>
    <w:p w14:paraId="7ECB7059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Nepoužívat u zvířat se závažnou dysfunkcí jater nebo ledvin. </w:t>
      </w:r>
    </w:p>
    <w:p w14:paraId="5DA20AE1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Nepoužívat u zvířat s poraněním mozku nebo s organickými lézemi mozku. </w:t>
      </w:r>
    </w:p>
    <w:p w14:paraId="4F8AB7B3" w14:textId="77777777" w:rsidR="002B361B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Nepoužívat u zvířat s obstrukční nemocí dýchacího systému, srdeční dysfunkcí nebo</w:t>
      </w:r>
      <w:r w:rsidRPr="005C23D6">
        <w:rPr>
          <w:b/>
          <w:szCs w:val="22"/>
        </w:rPr>
        <w:t xml:space="preserve"> </w:t>
      </w:r>
      <w:r w:rsidRPr="005C23D6">
        <w:rPr>
          <w:szCs w:val="22"/>
        </w:rPr>
        <w:t>spastickými stavy.</w:t>
      </w:r>
    </w:p>
    <w:p w14:paraId="2C884004" w14:textId="4D5B8DF8" w:rsidR="00466378" w:rsidRPr="005C23D6" w:rsidRDefault="002B361B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Nepoužívat v případech přecitlivělosti na léčivou látku nebo na některou z pomocných látek</w:t>
      </w:r>
      <w:r>
        <w:rPr>
          <w:szCs w:val="22"/>
        </w:rPr>
        <w:t>.</w:t>
      </w:r>
    </w:p>
    <w:p w14:paraId="020CB0F9" w14:textId="4CCB8CC0" w:rsidR="00466378" w:rsidRPr="005C23D6" w:rsidRDefault="00466378" w:rsidP="00466378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3BEDF9ED" w14:textId="2B80ECB5" w:rsidR="00466378" w:rsidRPr="005C23D6" w:rsidRDefault="00466378" w:rsidP="00466378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u w:val="single"/>
        </w:rPr>
      </w:pPr>
      <w:r w:rsidRPr="005C23D6">
        <w:rPr>
          <w:szCs w:val="22"/>
          <w:u w:val="single"/>
        </w:rPr>
        <w:t>Kůň</w:t>
      </w:r>
      <w:r w:rsidR="002B361B" w:rsidRPr="00C97A66">
        <w:rPr>
          <w:szCs w:val="22"/>
        </w:rPr>
        <w:t>:</w:t>
      </w:r>
    </w:p>
    <w:p w14:paraId="3399DF27" w14:textId="77777777" w:rsidR="00466378" w:rsidRPr="005C23D6" w:rsidRDefault="00466378" w:rsidP="00466378">
      <w:pPr>
        <w:tabs>
          <w:tab w:val="clear" w:pos="567"/>
        </w:tabs>
        <w:spacing w:line="240" w:lineRule="auto"/>
        <w:ind w:left="567" w:hanging="567"/>
        <w:jc w:val="both"/>
        <w:rPr>
          <w:i/>
          <w:iCs/>
          <w:szCs w:val="22"/>
        </w:rPr>
      </w:pPr>
      <w:r w:rsidRPr="005C23D6">
        <w:rPr>
          <w:i/>
          <w:iCs/>
          <w:szCs w:val="22"/>
        </w:rPr>
        <w:t xml:space="preserve">Kombinace </w:t>
      </w:r>
      <w:proofErr w:type="spellStart"/>
      <w:r w:rsidRPr="005C23D6">
        <w:rPr>
          <w:i/>
          <w:iCs/>
          <w:szCs w:val="22"/>
        </w:rPr>
        <w:t>butorfanolu</w:t>
      </w:r>
      <w:proofErr w:type="spellEnd"/>
      <w:r w:rsidRPr="005C23D6">
        <w:rPr>
          <w:i/>
          <w:iCs/>
          <w:szCs w:val="22"/>
        </w:rPr>
        <w:t xml:space="preserve"> a </w:t>
      </w:r>
      <w:proofErr w:type="spellStart"/>
      <w:r w:rsidRPr="005C23D6">
        <w:rPr>
          <w:i/>
          <w:iCs/>
          <w:szCs w:val="22"/>
        </w:rPr>
        <w:t>detomidin</w:t>
      </w:r>
      <w:proofErr w:type="spellEnd"/>
      <w:r w:rsidRPr="005C23D6">
        <w:rPr>
          <w:i/>
          <w:iCs/>
          <w:szCs w:val="22"/>
        </w:rPr>
        <w:t xml:space="preserve"> </w:t>
      </w:r>
      <w:proofErr w:type="spellStart"/>
      <w:r w:rsidRPr="005C23D6">
        <w:rPr>
          <w:i/>
          <w:iCs/>
          <w:szCs w:val="22"/>
        </w:rPr>
        <w:t>hydrochloridu</w:t>
      </w:r>
      <w:proofErr w:type="spellEnd"/>
      <w:r w:rsidRPr="005C23D6">
        <w:rPr>
          <w:i/>
          <w:iCs/>
          <w:szCs w:val="22"/>
        </w:rPr>
        <w:t>:</w:t>
      </w:r>
    </w:p>
    <w:p w14:paraId="3112B4C9" w14:textId="77777777" w:rsidR="00466378" w:rsidRPr="005C23D6" w:rsidRDefault="00466378" w:rsidP="00466378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 xml:space="preserve">Nepoužívat u koní s anamnézou srdeční </w:t>
      </w:r>
      <w:proofErr w:type="spellStart"/>
      <w:r w:rsidRPr="005C23D6">
        <w:rPr>
          <w:szCs w:val="22"/>
        </w:rPr>
        <w:t>dysrytmie</w:t>
      </w:r>
      <w:proofErr w:type="spellEnd"/>
      <w:r w:rsidRPr="005C23D6">
        <w:rPr>
          <w:szCs w:val="22"/>
        </w:rPr>
        <w:t xml:space="preserve"> nebo bradykardie.</w:t>
      </w:r>
    </w:p>
    <w:p w14:paraId="35AE3FCA" w14:textId="77777777" w:rsidR="00466378" w:rsidRPr="005C23D6" w:rsidRDefault="00466378" w:rsidP="00466378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 xml:space="preserve">Nepoužívat v případech koliky spojených s obstipací, protože tato kombinace způsobuje snížení gastrointestinální motility. </w:t>
      </w:r>
    </w:p>
    <w:p w14:paraId="78D1E7C5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Nepoužívat u koní s emfyzémem kvůli možnému tlumícímu účinku</w:t>
      </w:r>
      <w:r w:rsidRPr="005C23D6">
        <w:rPr>
          <w:b/>
          <w:szCs w:val="22"/>
        </w:rPr>
        <w:t xml:space="preserve"> </w:t>
      </w:r>
      <w:r w:rsidRPr="005C23D6">
        <w:rPr>
          <w:szCs w:val="22"/>
        </w:rPr>
        <w:t xml:space="preserve">na dýchací systém. </w:t>
      </w:r>
    </w:p>
    <w:p w14:paraId="27B56408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Nepoužívat u březích klisen. </w:t>
      </w:r>
    </w:p>
    <w:p w14:paraId="74CB5D4C" w14:textId="77777777" w:rsidR="00466378" w:rsidRPr="005C23D6" w:rsidRDefault="00466378" w:rsidP="00466378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38C71702" w14:textId="77777777" w:rsidR="00466378" w:rsidRPr="005C23D6" w:rsidRDefault="00466378" w:rsidP="00466378">
      <w:pPr>
        <w:tabs>
          <w:tab w:val="clear" w:pos="567"/>
        </w:tabs>
        <w:spacing w:line="240" w:lineRule="auto"/>
        <w:ind w:left="567" w:hanging="567"/>
        <w:jc w:val="both"/>
        <w:rPr>
          <w:i/>
          <w:iCs/>
          <w:szCs w:val="22"/>
        </w:rPr>
      </w:pPr>
      <w:r w:rsidRPr="005C23D6">
        <w:rPr>
          <w:i/>
          <w:iCs/>
          <w:szCs w:val="22"/>
        </w:rPr>
        <w:t xml:space="preserve">Kombinace </w:t>
      </w:r>
      <w:proofErr w:type="spellStart"/>
      <w:r w:rsidRPr="005C23D6">
        <w:rPr>
          <w:i/>
          <w:iCs/>
          <w:szCs w:val="22"/>
        </w:rPr>
        <w:t>butorfanolu</w:t>
      </w:r>
      <w:proofErr w:type="spellEnd"/>
      <w:r w:rsidRPr="005C23D6">
        <w:rPr>
          <w:i/>
          <w:iCs/>
          <w:szCs w:val="22"/>
        </w:rPr>
        <w:t xml:space="preserve"> a </w:t>
      </w:r>
      <w:proofErr w:type="spellStart"/>
      <w:r w:rsidRPr="005C23D6">
        <w:rPr>
          <w:i/>
          <w:iCs/>
          <w:szCs w:val="22"/>
        </w:rPr>
        <w:t>romifidinu</w:t>
      </w:r>
      <w:proofErr w:type="spellEnd"/>
      <w:r w:rsidRPr="005C23D6">
        <w:rPr>
          <w:i/>
          <w:iCs/>
          <w:szCs w:val="22"/>
        </w:rPr>
        <w:t>:</w:t>
      </w:r>
    </w:p>
    <w:p w14:paraId="48CA7EDE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Nepoužívat během posledního měsíce březosti.</w:t>
      </w:r>
    </w:p>
    <w:p w14:paraId="214F8839" w14:textId="77777777" w:rsidR="00EB457B" w:rsidRPr="005C23D6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F62B023" w14:textId="77777777" w:rsidR="0091648F" w:rsidRPr="005C23D6" w:rsidRDefault="0091648F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5C23D6" w:rsidRDefault="00C605FD" w:rsidP="00B13B6D">
      <w:pPr>
        <w:pStyle w:val="Style1"/>
      </w:pPr>
      <w:r w:rsidRPr="005C23D6">
        <w:rPr>
          <w:highlight w:val="lightGray"/>
        </w:rPr>
        <w:t>6.</w:t>
      </w:r>
      <w:r w:rsidRPr="005C23D6">
        <w:tab/>
        <w:t>Zvláštní upozornění</w:t>
      </w:r>
    </w:p>
    <w:p w14:paraId="72546E2A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67B29" w14:textId="2ABD10F0" w:rsidR="00F354C5" w:rsidRPr="005C23D6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  <w:u w:val="single"/>
        </w:rPr>
        <w:t>Zvláštní upozornění</w:t>
      </w:r>
      <w:r w:rsidRPr="005C23D6">
        <w:t>:</w:t>
      </w:r>
    </w:p>
    <w:p w14:paraId="33D86560" w14:textId="1CA2F51E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 w:rsidRPr="005C23D6">
        <w:rPr>
          <w:szCs w:val="22"/>
        </w:rPr>
        <w:t>Butorfanol</w:t>
      </w:r>
      <w:proofErr w:type="spellEnd"/>
      <w:r w:rsidRPr="005C23D6">
        <w:rPr>
          <w:szCs w:val="22"/>
        </w:rPr>
        <w:t xml:space="preserve"> je určen k použití v případech, kdy je zapotřebí krátké trvání analgezie (kůň, pes) nebo krátké až střední trvání analgezie (kočka)</w:t>
      </w:r>
      <w:r w:rsidR="002B361B">
        <w:rPr>
          <w:szCs w:val="22"/>
        </w:rPr>
        <w:t xml:space="preserve"> (viz bod Další informace)</w:t>
      </w:r>
      <w:r w:rsidRPr="005C23D6">
        <w:rPr>
          <w:szCs w:val="22"/>
        </w:rPr>
        <w:t xml:space="preserve">. V případech, kdy se požaduje delší trvání analgezie, je nutné použít jinou léčivou látku. </w:t>
      </w:r>
    </w:p>
    <w:p w14:paraId="0FB5E7DF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508D213D" w14:textId="77777777" w:rsidR="007A55BD" w:rsidRPr="005C23D6" w:rsidRDefault="007A55BD" w:rsidP="007A55BD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5C23D6">
        <w:rPr>
          <w:color w:val="000000"/>
          <w:szCs w:val="22"/>
        </w:rPr>
        <w:t xml:space="preserve">U koček při samostatném použití </w:t>
      </w:r>
      <w:proofErr w:type="spellStart"/>
      <w:r w:rsidRPr="005C23D6">
        <w:rPr>
          <w:color w:val="000000"/>
          <w:szCs w:val="22"/>
        </w:rPr>
        <w:t>butorfanolu</w:t>
      </w:r>
      <w:proofErr w:type="spellEnd"/>
      <w:r w:rsidRPr="005C23D6">
        <w:rPr>
          <w:color w:val="000000"/>
          <w:szCs w:val="22"/>
        </w:rPr>
        <w:t xml:space="preserve"> nedochází k výrazné </w:t>
      </w:r>
      <w:proofErr w:type="spellStart"/>
      <w:r w:rsidRPr="005C23D6">
        <w:rPr>
          <w:color w:val="000000"/>
          <w:szCs w:val="22"/>
        </w:rPr>
        <w:t>sedaci</w:t>
      </w:r>
      <w:proofErr w:type="spellEnd"/>
      <w:r w:rsidRPr="005C23D6">
        <w:rPr>
          <w:color w:val="000000"/>
          <w:szCs w:val="22"/>
        </w:rPr>
        <w:t>.</w:t>
      </w:r>
    </w:p>
    <w:p w14:paraId="51410916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5C23D6">
        <w:rPr>
          <w:szCs w:val="22"/>
        </w:rPr>
        <w:t xml:space="preserve">U koček může být individuální odezva na </w:t>
      </w:r>
      <w:proofErr w:type="spellStart"/>
      <w:r w:rsidRPr="005C23D6">
        <w:rPr>
          <w:szCs w:val="22"/>
        </w:rPr>
        <w:t>butorfanol</w:t>
      </w:r>
      <w:proofErr w:type="spellEnd"/>
      <w:r w:rsidRPr="005C23D6">
        <w:rPr>
          <w:szCs w:val="22"/>
        </w:rPr>
        <w:t xml:space="preserve"> proměnlivá. Při absenci adekvátní odezvy na analgetikum je nutné použít jiné analgetikum. </w:t>
      </w:r>
    </w:p>
    <w:p w14:paraId="4706685C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Zvýšení dávky u koček nezvyšuje intenzitu ani neprodlužuje dobu trvání požadovaných účinků.</w:t>
      </w:r>
    </w:p>
    <w:p w14:paraId="237E7072" w14:textId="77777777" w:rsidR="0091648F" w:rsidRPr="005C23D6" w:rsidRDefault="0091648F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44AC8D7F" w:rsidR="00F354C5" w:rsidRPr="005C23D6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  <w:u w:val="single"/>
        </w:rPr>
        <w:t>Zvláštní opatření pro bezpečné použití u cílových druhů zvířat</w:t>
      </w:r>
      <w:r w:rsidRPr="005C23D6">
        <w:t>:</w:t>
      </w:r>
    </w:p>
    <w:p w14:paraId="643ED5AF" w14:textId="0D3EB253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5C23D6">
        <w:rPr>
          <w:i/>
          <w:iCs/>
          <w:szCs w:val="22"/>
        </w:rPr>
        <w:t>Pro všechny cílové druhy zvířat</w:t>
      </w:r>
      <w:r w:rsidR="00A74FA3">
        <w:rPr>
          <w:i/>
          <w:iCs/>
          <w:szCs w:val="22"/>
        </w:rPr>
        <w:t>:</w:t>
      </w:r>
    </w:p>
    <w:p w14:paraId="59989169" w14:textId="6B89BFDA" w:rsidR="007A55BD" w:rsidRPr="005C23D6" w:rsidRDefault="007A55BD" w:rsidP="007A55BD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 xml:space="preserve">Vzhledem ke svým </w:t>
      </w:r>
      <w:r w:rsidR="00DF4518">
        <w:rPr>
          <w:szCs w:val="22"/>
        </w:rPr>
        <w:t>antitusickým</w:t>
      </w:r>
      <w:r w:rsidR="00DF4518" w:rsidRPr="005C23D6">
        <w:rPr>
          <w:szCs w:val="22"/>
        </w:rPr>
        <w:t xml:space="preserve"> </w:t>
      </w:r>
      <w:r w:rsidRPr="005C23D6">
        <w:rPr>
          <w:szCs w:val="22"/>
        </w:rPr>
        <w:t xml:space="preserve">vlastnostem může </w:t>
      </w:r>
      <w:proofErr w:type="spellStart"/>
      <w:r w:rsidRPr="005C23D6">
        <w:rPr>
          <w:szCs w:val="22"/>
        </w:rPr>
        <w:t>butorfanol</w:t>
      </w:r>
      <w:proofErr w:type="spellEnd"/>
      <w:r w:rsidRPr="005C23D6">
        <w:rPr>
          <w:szCs w:val="22"/>
        </w:rPr>
        <w:t xml:space="preserve"> vést k hromadění hlenu v dýchacím traktu. Proto by se </w:t>
      </w:r>
      <w:proofErr w:type="spellStart"/>
      <w:r w:rsidRPr="005C23D6">
        <w:rPr>
          <w:szCs w:val="22"/>
        </w:rPr>
        <w:t>butorfanol</w:t>
      </w:r>
      <w:proofErr w:type="spellEnd"/>
      <w:r w:rsidRPr="005C23D6">
        <w:rPr>
          <w:szCs w:val="22"/>
        </w:rPr>
        <w:t xml:space="preserve"> měl používat u zvířat s nemocemi dýchacího systému spojenými se zvýšenou produkcí hlenu pouze na základě zvážení poměru terapeutického prospěchu a rizika příslušným veterinárním lékařem.</w:t>
      </w:r>
    </w:p>
    <w:p w14:paraId="4D0F4621" w14:textId="6C69AB43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5C23D6">
        <w:rPr>
          <w:szCs w:val="22"/>
        </w:rPr>
        <w:t xml:space="preserve">Před použitím </w:t>
      </w:r>
      <w:r w:rsidR="002B361B">
        <w:rPr>
          <w:szCs w:val="22"/>
        </w:rPr>
        <w:t xml:space="preserve">veterinárního léčivého </w:t>
      </w:r>
      <w:r w:rsidRPr="005C23D6">
        <w:rPr>
          <w:szCs w:val="22"/>
        </w:rPr>
        <w:t xml:space="preserve">přípravku v kombinaci s agonisty α2-adrenoreceptorů je nutné provést běžnou auskultaci srdce a zvážit souběžné použití </w:t>
      </w:r>
      <w:proofErr w:type="spellStart"/>
      <w:r w:rsidRPr="005C23D6">
        <w:rPr>
          <w:szCs w:val="22"/>
        </w:rPr>
        <w:t>anticholinergických</w:t>
      </w:r>
      <w:proofErr w:type="spellEnd"/>
      <w:r w:rsidRPr="005C23D6">
        <w:rPr>
          <w:szCs w:val="22"/>
        </w:rPr>
        <w:t xml:space="preserve"> léčiv, např. atropinu. </w:t>
      </w:r>
    </w:p>
    <w:p w14:paraId="5E0249C9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5C23D6">
        <w:rPr>
          <w:szCs w:val="22"/>
        </w:rPr>
        <w:t xml:space="preserve">Kombinace </w:t>
      </w:r>
      <w:proofErr w:type="spellStart"/>
      <w:r w:rsidRPr="005C23D6">
        <w:rPr>
          <w:szCs w:val="22"/>
        </w:rPr>
        <w:t>butorfanolu</w:t>
      </w:r>
      <w:proofErr w:type="spellEnd"/>
      <w:r w:rsidRPr="005C23D6">
        <w:rPr>
          <w:szCs w:val="22"/>
        </w:rPr>
        <w:t xml:space="preserve"> a agonistů α2-adrenoreceptorů je nutno používat opatrně u zvířat s mírnou až středně závažnou dysfunkcí jater nebo ledvin. </w:t>
      </w:r>
    </w:p>
    <w:p w14:paraId="4571E196" w14:textId="1E920B07" w:rsidR="002B361B" w:rsidRDefault="007A55BD" w:rsidP="00B81A9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Při podávání </w:t>
      </w:r>
      <w:proofErr w:type="spellStart"/>
      <w:r w:rsidRPr="005C23D6">
        <w:rPr>
          <w:szCs w:val="22"/>
        </w:rPr>
        <w:t>butorfanolu</w:t>
      </w:r>
      <w:proofErr w:type="spellEnd"/>
      <w:r w:rsidRPr="005C23D6">
        <w:rPr>
          <w:szCs w:val="22"/>
        </w:rPr>
        <w:t xml:space="preserve"> zvířatům léčeným současně jinými sedativy působící na centrální nervový systém je nutná opatrnost (viz kapitola o interakci s jinými léčivými přípravky).</w:t>
      </w:r>
    </w:p>
    <w:p w14:paraId="5407930A" w14:textId="04EE0F13" w:rsidR="007A55BD" w:rsidRPr="005C23D6" w:rsidRDefault="002B361B" w:rsidP="007A55B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Nebyla stanovena b</w:t>
      </w:r>
      <w:r w:rsidR="007A55BD" w:rsidRPr="005C23D6">
        <w:rPr>
          <w:szCs w:val="22"/>
        </w:rPr>
        <w:t xml:space="preserve">ezpečnost </w:t>
      </w:r>
      <w:r>
        <w:rPr>
          <w:szCs w:val="22"/>
        </w:rPr>
        <w:t xml:space="preserve">veterinárního léčivého </w:t>
      </w:r>
      <w:r w:rsidR="007A55BD" w:rsidRPr="005C23D6">
        <w:rPr>
          <w:szCs w:val="22"/>
        </w:rPr>
        <w:t xml:space="preserve">přípravku pro </w:t>
      </w:r>
      <w:r>
        <w:rPr>
          <w:szCs w:val="22"/>
        </w:rPr>
        <w:t>použití u </w:t>
      </w:r>
      <w:r w:rsidR="007A55BD" w:rsidRPr="005C23D6">
        <w:rPr>
          <w:szCs w:val="22"/>
        </w:rPr>
        <w:t xml:space="preserve">štěňat, koťat a hříbat, a proto se smí </w:t>
      </w:r>
      <w:r>
        <w:rPr>
          <w:szCs w:val="22"/>
        </w:rPr>
        <w:t xml:space="preserve">veterinární léčivý </w:t>
      </w:r>
      <w:r w:rsidR="007A55BD" w:rsidRPr="005C23D6">
        <w:rPr>
          <w:szCs w:val="22"/>
        </w:rPr>
        <w:t xml:space="preserve">přípravek u těchto zvířat používat </w:t>
      </w:r>
      <w:r>
        <w:rPr>
          <w:szCs w:val="22"/>
        </w:rPr>
        <w:t>pouze po</w:t>
      </w:r>
      <w:r w:rsidR="007A55BD" w:rsidRPr="005C23D6">
        <w:rPr>
          <w:szCs w:val="22"/>
        </w:rPr>
        <w:t xml:space="preserve"> zvážení terapeutického prospěchu a rizika příslušným veterinárním lékařem.</w:t>
      </w:r>
    </w:p>
    <w:p w14:paraId="41A0B7EE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710D957" w14:textId="14007398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5C23D6">
        <w:rPr>
          <w:i/>
          <w:iCs/>
          <w:szCs w:val="22"/>
        </w:rPr>
        <w:t>Pes</w:t>
      </w:r>
      <w:r w:rsidR="002B361B">
        <w:rPr>
          <w:i/>
          <w:iCs/>
          <w:szCs w:val="22"/>
        </w:rPr>
        <w:t>:</w:t>
      </w:r>
    </w:p>
    <w:p w14:paraId="0C6ECEDA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Intravenózní podání je nutno provádět pomalu, ne jako bolus.</w:t>
      </w:r>
    </w:p>
    <w:p w14:paraId="1202386C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U psů s mutací genu MDR1 snižte dávku o 25</w:t>
      </w:r>
      <w:r w:rsidRPr="005C23D6">
        <w:rPr>
          <w:szCs w:val="22"/>
        </w:rPr>
        <w:noBreakHyphen/>
        <w:t>50 %.</w:t>
      </w:r>
    </w:p>
    <w:p w14:paraId="7A3B35B0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879274" w14:textId="2E605FD2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5C23D6">
        <w:rPr>
          <w:i/>
          <w:iCs/>
          <w:szCs w:val="22"/>
        </w:rPr>
        <w:t>Kočka</w:t>
      </w:r>
      <w:r w:rsidR="002B361B">
        <w:rPr>
          <w:i/>
          <w:iCs/>
          <w:szCs w:val="22"/>
        </w:rPr>
        <w:t>:</w:t>
      </w:r>
    </w:p>
    <w:p w14:paraId="080A4D2D" w14:textId="77777777" w:rsidR="007A55BD" w:rsidRPr="005C23D6" w:rsidRDefault="007A55BD" w:rsidP="007A55BD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 xml:space="preserve">Doporučuje se používat buď inzulinové stříkačky nebo 1 ml kalibrované stříkačky. </w:t>
      </w:r>
    </w:p>
    <w:p w14:paraId="0E3F7372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3C8374" w14:textId="44B10F7B" w:rsidR="007A55BD" w:rsidRPr="005C23D6" w:rsidRDefault="007A55BD" w:rsidP="00F23F90">
      <w:pPr>
        <w:keepNext/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5C23D6">
        <w:rPr>
          <w:i/>
          <w:iCs/>
          <w:szCs w:val="22"/>
        </w:rPr>
        <w:lastRenderedPageBreak/>
        <w:t>Kůň</w:t>
      </w:r>
      <w:r w:rsidR="002B361B">
        <w:rPr>
          <w:i/>
          <w:iCs/>
          <w:szCs w:val="22"/>
        </w:rPr>
        <w:t>:</w:t>
      </w:r>
    </w:p>
    <w:p w14:paraId="338BC4F8" w14:textId="237127FD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Použití </w:t>
      </w:r>
      <w:r w:rsidR="002B361B">
        <w:rPr>
          <w:szCs w:val="22"/>
        </w:rPr>
        <w:t xml:space="preserve">veterinárního léčivého </w:t>
      </w:r>
      <w:r w:rsidRPr="005C23D6">
        <w:rPr>
          <w:szCs w:val="22"/>
        </w:rPr>
        <w:t>přípravku v doporučené dávce může vést k přechodné ataxii nebo podráždění. Aby tedy při léčbě koní nedošlo ke zranění pacienta a osob, je nutné pečlivě vybrat místo pro léčbu.</w:t>
      </w:r>
    </w:p>
    <w:p w14:paraId="5B3195DD" w14:textId="77777777" w:rsidR="00F354C5" w:rsidRPr="005C23D6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6C065A3" w:rsidR="00F354C5" w:rsidRPr="005C23D6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  <w:u w:val="single"/>
        </w:rPr>
        <w:t>Zvláštní opatření pro osobu, která podává veterinární léčivý přípravek zvířatům</w:t>
      </w:r>
      <w:r w:rsidRPr="005C23D6">
        <w:t>:</w:t>
      </w:r>
    </w:p>
    <w:p w14:paraId="62D5B971" w14:textId="0D529743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C23D6">
        <w:rPr>
          <w:szCs w:val="22"/>
        </w:rPr>
        <w:t>Butorfanol</w:t>
      </w:r>
      <w:proofErr w:type="spellEnd"/>
      <w:r w:rsidRPr="005C23D6">
        <w:rPr>
          <w:szCs w:val="22"/>
        </w:rPr>
        <w:t xml:space="preserve"> má </w:t>
      </w:r>
      <w:proofErr w:type="spellStart"/>
      <w:r w:rsidRPr="005C23D6">
        <w:rPr>
          <w:szCs w:val="22"/>
        </w:rPr>
        <w:t>opioidní</w:t>
      </w:r>
      <w:proofErr w:type="spellEnd"/>
      <w:r w:rsidRPr="005C23D6">
        <w:rPr>
          <w:szCs w:val="22"/>
        </w:rPr>
        <w:t xml:space="preserve"> účinky. Nejčastějšími nežádoucími účinky </w:t>
      </w:r>
      <w:proofErr w:type="spellStart"/>
      <w:r w:rsidRPr="005C23D6">
        <w:rPr>
          <w:szCs w:val="22"/>
        </w:rPr>
        <w:t>butorfanolu</w:t>
      </w:r>
      <w:proofErr w:type="spellEnd"/>
      <w:r w:rsidRPr="005C23D6">
        <w:rPr>
          <w:szCs w:val="22"/>
        </w:rPr>
        <w:t xml:space="preserve"> u lidí jsou ospalost, pocení, nevolnost, malátnost a závrať a tyto účinky mohou nastat po náhodném sebepoškození injekčně </w:t>
      </w:r>
      <w:r w:rsidR="00BB5D44">
        <w:rPr>
          <w:szCs w:val="22"/>
        </w:rPr>
        <w:t>podaným</w:t>
      </w:r>
      <w:r w:rsidR="00BB5D44" w:rsidRPr="005C23D6">
        <w:rPr>
          <w:szCs w:val="22"/>
        </w:rPr>
        <w:t xml:space="preserve"> </w:t>
      </w:r>
      <w:r w:rsidRPr="005C23D6">
        <w:rPr>
          <w:szCs w:val="22"/>
        </w:rPr>
        <w:t xml:space="preserve">přípravkem. Zabraňte náhodnému </w:t>
      </w:r>
      <w:proofErr w:type="spellStart"/>
      <w:r w:rsidRPr="005C23D6">
        <w:rPr>
          <w:szCs w:val="22"/>
        </w:rPr>
        <w:t>samopodání</w:t>
      </w:r>
      <w:proofErr w:type="spellEnd"/>
      <w:r w:rsidRPr="005C23D6">
        <w:rPr>
          <w:szCs w:val="22"/>
        </w:rPr>
        <w:t xml:space="preserve"> injekce. V případě náhodného sebepoškození injekčně </w:t>
      </w:r>
      <w:r w:rsidR="00E6057D">
        <w:rPr>
          <w:szCs w:val="22"/>
        </w:rPr>
        <w:t>podaným</w:t>
      </w:r>
      <w:r w:rsidR="00E6057D" w:rsidRPr="005C23D6">
        <w:rPr>
          <w:szCs w:val="22"/>
        </w:rPr>
        <w:t xml:space="preserve"> </w:t>
      </w:r>
      <w:r w:rsidRPr="005C23D6">
        <w:rPr>
          <w:szCs w:val="22"/>
        </w:rPr>
        <w:t xml:space="preserve">přípravkem vyhledejte ihned lékařskou pomoc a ukažte příbalovou informaci nebo etiketu praktickému lékaři. Neřiďte. Jako </w:t>
      </w:r>
      <w:proofErr w:type="spellStart"/>
      <w:r w:rsidRPr="005C23D6">
        <w:rPr>
          <w:szCs w:val="22"/>
        </w:rPr>
        <w:t>antidotum</w:t>
      </w:r>
      <w:proofErr w:type="spellEnd"/>
      <w:r w:rsidRPr="005C23D6">
        <w:rPr>
          <w:szCs w:val="22"/>
        </w:rPr>
        <w:t xml:space="preserve"> lze použít antagonistu </w:t>
      </w:r>
      <w:proofErr w:type="spellStart"/>
      <w:r w:rsidRPr="005C23D6">
        <w:rPr>
          <w:szCs w:val="22"/>
        </w:rPr>
        <w:t>opioidu</w:t>
      </w:r>
      <w:proofErr w:type="spellEnd"/>
      <w:r w:rsidRPr="005C23D6">
        <w:rPr>
          <w:szCs w:val="22"/>
        </w:rPr>
        <w:t xml:space="preserve"> (např. </w:t>
      </w:r>
      <w:proofErr w:type="spellStart"/>
      <w:r w:rsidRPr="005C23D6">
        <w:rPr>
          <w:szCs w:val="22"/>
        </w:rPr>
        <w:t>naloxon</w:t>
      </w:r>
      <w:proofErr w:type="spellEnd"/>
      <w:r w:rsidRPr="005C23D6">
        <w:rPr>
          <w:szCs w:val="22"/>
        </w:rPr>
        <w:t xml:space="preserve">). </w:t>
      </w:r>
    </w:p>
    <w:p w14:paraId="776FE1B5" w14:textId="77777777" w:rsidR="004369CE" w:rsidRDefault="004369CE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C381827" w14:textId="4515FBF6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Zasaženou kůži a oči ihned omyjte velkým množstvím vody.</w:t>
      </w:r>
    </w:p>
    <w:p w14:paraId="2DAED05C" w14:textId="77777777" w:rsidR="002F6DAA" w:rsidRPr="005C23D6" w:rsidRDefault="002F6DAA" w:rsidP="005B1FD0">
      <w:pPr>
        <w:rPr>
          <w:szCs w:val="22"/>
          <w:u w:val="single"/>
        </w:rPr>
      </w:pPr>
    </w:p>
    <w:p w14:paraId="73D27655" w14:textId="3BFC6C01" w:rsidR="005B1FD0" w:rsidRPr="005C23D6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  <w:u w:val="single"/>
        </w:rPr>
        <w:t>Březost a laktace</w:t>
      </w:r>
      <w:r w:rsidRPr="005C23D6">
        <w:t>:</w:t>
      </w:r>
    </w:p>
    <w:p w14:paraId="74FAA5E3" w14:textId="204E9842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Nebyla stanovena bezpečnost veterinárního léčivého přípravku pro použití během březosti a laktace. Použití není </w:t>
      </w:r>
      <w:r w:rsidR="00E6057D">
        <w:rPr>
          <w:szCs w:val="22"/>
        </w:rPr>
        <w:t xml:space="preserve">doporučováno </w:t>
      </w:r>
      <w:r w:rsidRPr="005C23D6">
        <w:rPr>
          <w:szCs w:val="22"/>
        </w:rPr>
        <w:t xml:space="preserve">během březosti a laktace. Viz též </w:t>
      </w:r>
      <w:r w:rsidR="00E6057D">
        <w:rPr>
          <w:szCs w:val="22"/>
        </w:rPr>
        <w:t>bod „Kontraindikace“</w:t>
      </w:r>
      <w:r w:rsidRPr="005C23D6">
        <w:rPr>
          <w:szCs w:val="22"/>
        </w:rPr>
        <w:t>.</w:t>
      </w:r>
    </w:p>
    <w:p w14:paraId="6C129502" w14:textId="77777777" w:rsidR="005B1FD0" w:rsidRPr="005C23D6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3878360" w:rsidR="005B1FD0" w:rsidRPr="005C23D6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  <w:u w:val="single"/>
        </w:rPr>
        <w:t>Interakce s jinými léčivými přípravky a další formy interakce</w:t>
      </w:r>
      <w:r w:rsidRPr="005C23D6">
        <w:t>:</w:t>
      </w:r>
    </w:p>
    <w:p w14:paraId="092AB964" w14:textId="366AC59F" w:rsidR="007A55BD" w:rsidRPr="00E6057D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Použití </w:t>
      </w:r>
      <w:proofErr w:type="spellStart"/>
      <w:r w:rsidRPr="005C23D6">
        <w:rPr>
          <w:szCs w:val="22"/>
        </w:rPr>
        <w:t>butorfanolu</w:t>
      </w:r>
      <w:proofErr w:type="spellEnd"/>
      <w:r w:rsidRPr="005C23D6">
        <w:rPr>
          <w:szCs w:val="22"/>
        </w:rPr>
        <w:t xml:space="preserve"> v kombinaci s některými</w:t>
      </w:r>
      <w:r w:rsidRPr="005C23D6">
        <w:rPr>
          <w:b/>
          <w:szCs w:val="22"/>
        </w:rPr>
        <w:t xml:space="preserve"> </w:t>
      </w:r>
      <w:r w:rsidRPr="005C23D6">
        <w:rPr>
          <w:szCs w:val="22"/>
        </w:rPr>
        <w:t>agonisty α2-adrenoreceptorů (</w:t>
      </w:r>
      <w:proofErr w:type="spellStart"/>
      <w:r w:rsidRPr="005C23D6">
        <w:rPr>
          <w:szCs w:val="22"/>
        </w:rPr>
        <w:t>romifidin</w:t>
      </w:r>
      <w:proofErr w:type="spellEnd"/>
      <w:r w:rsidRPr="005C23D6">
        <w:rPr>
          <w:szCs w:val="22"/>
        </w:rPr>
        <w:t xml:space="preserve"> nebo </w:t>
      </w:r>
      <w:proofErr w:type="spellStart"/>
      <w:r w:rsidRPr="005C23D6">
        <w:rPr>
          <w:szCs w:val="22"/>
        </w:rPr>
        <w:t>detomidin</w:t>
      </w:r>
      <w:proofErr w:type="spellEnd"/>
      <w:r w:rsidRPr="005C23D6">
        <w:rPr>
          <w:szCs w:val="22"/>
        </w:rPr>
        <w:t xml:space="preserve"> u koní, </w:t>
      </w:r>
      <w:proofErr w:type="spellStart"/>
      <w:r w:rsidRPr="005C23D6">
        <w:rPr>
          <w:szCs w:val="22"/>
        </w:rPr>
        <w:t>medetomidin</w:t>
      </w:r>
      <w:proofErr w:type="spellEnd"/>
      <w:r w:rsidRPr="005C23D6">
        <w:rPr>
          <w:szCs w:val="22"/>
        </w:rPr>
        <w:t xml:space="preserve"> u psů a koček) může mít synergické účinky vyžadující snížení dávky </w:t>
      </w:r>
      <w:proofErr w:type="spellStart"/>
      <w:r w:rsidRPr="005C23D6">
        <w:rPr>
          <w:szCs w:val="22"/>
        </w:rPr>
        <w:t>butorfanolu</w:t>
      </w:r>
      <w:proofErr w:type="spellEnd"/>
      <w:r w:rsidRPr="005C23D6">
        <w:rPr>
          <w:szCs w:val="22"/>
        </w:rPr>
        <w:t xml:space="preserve"> (viz bod </w:t>
      </w:r>
      <w:r w:rsidR="00E6057D">
        <w:rPr>
          <w:szCs w:val="22"/>
        </w:rPr>
        <w:t>„</w:t>
      </w:r>
      <w:r w:rsidR="00E6057D" w:rsidRPr="00E6057D">
        <w:rPr>
          <w:szCs w:val="22"/>
        </w:rPr>
        <w:t>Dávkování pro každý druh, cesty a</w:t>
      </w:r>
      <w:r w:rsidR="00E6057D">
        <w:rPr>
          <w:szCs w:val="22"/>
        </w:rPr>
        <w:t> </w:t>
      </w:r>
      <w:r w:rsidR="00E6057D" w:rsidRPr="00E6057D">
        <w:rPr>
          <w:szCs w:val="22"/>
        </w:rPr>
        <w:t>způsob podání</w:t>
      </w:r>
      <w:r w:rsidR="00E6057D">
        <w:rPr>
          <w:szCs w:val="22"/>
        </w:rPr>
        <w:t>“ a </w:t>
      </w:r>
      <w:proofErr w:type="spellStart"/>
      <w:r w:rsidR="00E6057D">
        <w:rPr>
          <w:szCs w:val="22"/>
        </w:rPr>
        <w:t>podbod</w:t>
      </w:r>
      <w:proofErr w:type="spellEnd"/>
      <w:r w:rsidR="00E6057D">
        <w:rPr>
          <w:szCs w:val="22"/>
        </w:rPr>
        <w:t xml:space="preserve"> </w:t>
      </w:r>
      <w:r w:rsidR="00E6057D" w:rsidRPr="00E6057D">
        <w:rPr>
          <w:szCs w:val="22"/>
        </w:rPr>
        <w:t>„</w:t>
      </w:r>
      <w:r w:rsidR="00E6057D" w:rsidRPr="00B81A95">
        <w:rPr>
          <w:szCs w:val="22"/>
        </w:rPr>
        <w:t>Zvláštní opatření pro bezpečné použití u cílových druhů zvířat</w:t>
      </w:r>
      <w:r w:rsidR="00E6057D">
        <w:rPr>
          <w:szCs w:val="22"/>
        </w:rPr>
        <w:t>“</w:t>
      </w:r>
      <w:r w:rsidRPr="00E6057D">
        <w:rPr>
          <w:szCs w:val="22"/>
        </w:rPr>
        <w:t>).</w:t>
      </w:r>
    </w:p>
    <w:p w14:paraId="4716F1C4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45CE22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C23D6">
        <w:rPr>
          <w:szCs w:val="22"/>
        </w:rPr>
        <w:t>Butorfanol</w:t>
      </w:r>
      <w:proofErr w:type="spellEnd"/>
      <w:r w:rsidRPr="005C23D6">
        <w:rPr>
          <w:szCs w:val="22"/>
        </w:rPr>
        <w:t xml:space="preserve"> je antitusikum a nesmí se používat v kombinaci s žádným expektorans, protože by mohlo dojít ke hromadění hlenu v dýchacích cestách. </w:t>
      </w:r>
    </w:p>
    <w:p w14:paraId="4F01D7B3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BCD6B5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Vzhledem k antagonistickým účinkům na </w:t>
      </w:r>
      <w:proofErr w:type="spellStart"/>
      <w:r w:rsidRPr="005C23D6">
        <w:rPr>
          <w:szCs w:val="22"/>
        </w:rPr>
        <w:t>opioidní</w:t>
      </w:r>
      <w:proofErr w:type="spellEnd"/>
      <w:r w:rsidRPr="005C23D6">
        <w:rPr>
          <w:szCs w:val="22"/>
        </w:rPr>
        <w:t xml:space="preserve"> mí (μ) receptor může </w:t>
      </w:r>
      <w:proofErr w:type="spellStart"/>
      <w:r w:rsidRPr="005C23D6">
        <w:rPr>
          <w:szCs w:val="22"/>
        </w:rPr>
        <w:t>butorfanol</w:t>
      </w:r>
      <w:proofErr w:type="spellEnd"/>
      <w:r w:rsidRPr="005C23D6">
        <w:rPr>
          <w:szCs w:val="22"/>
        </w:rPr>
        <w:t xml:space="preserve"> rušit analgetický účinek u zvířat, která již byla léčena čistě agonisty opiátového mí (μ) receptoru (morfin/</w:t>
      </w:r>
      <w:proofErr w:type="spellStart"/>
      <w:r w:rsidRPr="005C23D6">
        <w:rPr>
          <w:szCs w:val="22"/>
        </w:rPr>
        <w:t>oxymorfin</w:t>
      </w:r>
      <w:proofErr w:type="spellEnd"/>
      <w:r w:rsidRPr="005C23D6">
        <w:rPr>
          <w:szCs w:val="22"/>
        </w:rPr>
        <w:t>).</w:t>
      </w:r>
    </w:p>
    <w:p w14:paraId="4AE82FF5" w14:textId="77777777" w:rsidR="00E6057D" w:rsidRDefault="00E6057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8587B7" w14:textId="6AA80582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Při současném použití dalších sedativ</w:t>
      </w:r>
      <w:r w:rsidRPr="005C23D6">
        <w:rPr>
          <w:b/>
          <w:szCs w:val="22"/>
        </w:rPr>
        <w:t xml:space="preserve"> </w:t>
      </w:r>
      <w:r w:rsidRPr="005C23D6">
        <w:rPr>
          <w:szCs w:val="22"/>
        </w:rPr>
        <w:t xml:space="preserve">centrálního nervového systému se předpokládá umocnění účinků </w:t>
      </w:r>
      <w:proofErr w:type="spellStart"/>
      <w:r w:rsidRPr="005C23D6">
        <w:rPr>
          <w:szCs w:val="22"/>
        </w:rPr>
        <w:t>butorfanolu</w:t>
      </w:r>
      <w:proofErr w:type="spellEnd"/>
      <w:r w:rsidRPr="005C23D6">
        <w:rPr>
          <w:szCs w:val="22"/>
        </w:rPr>
        <w:t xml:space="preserve"> a je tedy nutné používat takové léky opatrně. Při současném podání těchto prostředků je nutné použít nižší dávku </w:t>
      </w:r>
      <w:proofErr w:type="spellStart"/>
      <w:r w:rsidRPr="005C23D6">
        <w:rPr>
          <w:szCs w:val="22"/>
        </w:rPr>
        <w:t>butorfanolu</w:t>
      </w:r>
      <w:proofErr w:type="spellEnd"/>
      <w:r w:rsidRPr="005C23D6">
        <w:rPr>
          <w:szCs w:val="22"/>
        </w:rPr>
        <w:t>.</w:t>
      </w:r>
    </w:p>
    <w:p w14:paraId="4B6ACDF8" w14:textId="77777777" w:rsidR="005B1FD0" w:rsidRPr="005C23D6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2DD3C0B" w:rsidR="005B1FD0" w:rsidRPr="005C23D6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  <w:u w:val="single"/>
        </w:rPr>
        <w:t>Předávkování</w:t>
      </w:r>
      <w:r w:rsidRPr="005C23D6">
        <w:t>:</w:t>
      </w:r>
    </w:p>
    <w:p w14:paraId="2D073362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Hlavním příznakem předávkování je respirační deprese, kterou lze upravit </w:t>
      </w:r>
      <w:proofErr w:type="spellStart"/>
      <w:r w:rsidRPr="005C23D6">
        <w:rPr>
          <w:szCs w:val="22"/>
        </w:rPr>
        <w:t>naloxonem</w:t>
      </w:r>
      <w:proofErr w:type="spellEnd"/>
      <w:r w:rsidRPr="005C23D6">
        <w:rPr>
          <w:szCs w:val="22"/>
        </w:rPr>
        <w:t xml:space="preserve">. </w:t>
      </w:r>
    </w:p>
    <w:p w14:paraId="084AFC24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B793C5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Pro odstranění sedativního účinku kombinací </w:t>
      </w:r>
      <w:proofErr w:type="spellStart"/>
      <w:r w:rsidRPr="005C23D6">
        <w:rPr>
          <w:szCs w:val="22"/>
        </w:rPr>
        <w:t>butorfanolu</w:t>
      </w:r>
      <w:proofErr w:type="spellEnd"/>
      <w:r w:rsidRPr="005C23D6">
        <w:rPr>
          <w:szCs w:val="22"/>
        </w:rPr>
        <w:t xml:space="preserve"> a agonistů alfa-2 </w:t>
      </w:r>
      <w:proofErr w:type="spellStart"/>
      <w:r w:rsidRPr="005C23D6">
        <w:rPr>
          <w:szCs w:val="22"/>
        </w:rPr>
        <w:t>adrenoreceptorů</w:t>
      </w:r>
      <w:proofErr w:type="spellEnd"/>
      <w:r w:rsidRPr="005C23D6">
        <w:rPr>
          <w:szCs w:val="22"/>
        </w:rPr>
        <w:t xml:space="preserve"> lze použít </w:t>
      </w:r>
      <w:proofErr w:type="spellStart"/>
      <w:r w:rsidRPr="005C23D6">
        <w:rPr>
          <w:szCs w:val="22"/>
        </w:rPr>
        <w:t>atipamezol</w:t>
      </w:r>
      <w:proofErr w:type="spellEnd"/>
      <w:r w:rsidRPr="005C23D6">
        <w:rPr>
          <w:szCs w:val="22"/>
        </w:rPr>
        <w:t xml:space="preserve">. Pro odstranění nežádoucích kardiopulmonálních účinků těchto kombinací mohou být zapotřebí vyšší dávky </w:t>
      </w:r>
      <w:proofErr w:type="spellStart"/>
      <w:r w:rsidRPr="005C23D6">
        <w:rPr>
          <w:szCs w:val="22"/>
        </w:rPr>
        <w:t>atipamezolu</w:t>
      </w:r>
      <w:proofErr w:type="spellEnd"/>
      <w:r w:rsidRPr="005C23D6">
        <w:rPr>
          <w:szCs w:val="22"/>
        </w:rPr>
        <w:t xml:space="preserve">. </w:t>
      </w:r>
      <w:proofErr w:type="spellStart"/>
      <w:r w:rsidRPr="005C23D6">
        <w:rPr>
          <w:szCs w:val="22"/>
        </w:rPr>
        <w:t>Atipamezol</w:t>
      </w:r>
      <w:proofErr w:type="spellEnd"/>
      <w:r w:rsidRPr="005C23D6">
        <w:rPr>
          <w:szCs w:val="22"/>
        </w:rPr>
        <w:t xml:space="preserve"> by se neměl podávat psům léčeným kombinací </w:t>
      </w:r>
      <w:proofErr w:type="spellStart"/>
      <w:r w:rsidRPr="005C23D6">
        <w:rPr>
          <w:szCs w:val="22"/>
        </w:rPr>
        <w:t>butorfanolu</w:t>
      </w:r>
      <w:proofErr w:type="spellEnd"/>
      <w:r w:rsidRPr="005C23D6">
        <w:rPr>
          <w:szCs w:val="22"/>
        </w:rPr>
        <w:t xml:space="preserve">, </w:t>
      </w:r>
      <w:proofErr w:type="spellStart"/>
      <w:r w:rsidRPr="005C23D6">
        <w:rPr>
          <w:szCs w:val="22"/>
        </w:rPr>
        <w:t>medetomidinu</w:t>
      </w:r>
      <w:proofErr w:type="spellEnd"/>
      <w:r w:rsidRPr="005C23D6">
        <w:rPr>
          <w:szCs w:val="22"/>
        </w:rPr>
        <w:t xml:space="preserve"> a </w:t>
      </w:r>
      <w:proofErr w:type="spellStart"/>
      <w:r w:rsidRPr="005C23D6">
        <w:rPr>
          <w:szCs w:val="22"/>
        </w:rPr>
        <w:t>ketaminu</w:t>
      </w:r>
      <w:proofErr w:type="spellEnd"/>
      <w:r w:rsidRPr="005C23D6">
        <w:rPr>
          <w:szCs w:val="22"/>
        </w:rPr>
        <w:t xml:space="preserve"> aplikovaných intramuskulárně za účelem anestezie. </w:t>
      </w:r>
    </w:p>
    <w:p w14:paraId="00ACCA3B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FD6EEDB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K dalším možným příznakům předávkování u koní patří neklid, resp. předrážděnost, svalový třes, ataxie, </w:t>
      </w:r>
      <w:proofErr w:type="spellStart"/>
      <w:r w:rsidRPr="005C23D6">
        <w:rPr>
          <w:szCs w:val="22"/>
        </w:rPr>
        <w:t>hypersalivace</w:t>
      </w:r>
      <w:proofErr w:type="spellEnd"/>
      <w:r w:rsidRPr="005C23D6">
        <w:rPr>
          <w:szCs w:val="22"/>
        </w:rPr>
        <w:t>, snížení gastrointestinální motility a záchvaty. U koček jsou hlavními příznaky předávkování porucha koordinace, salivace a mírné křeče.</w:t>
      </w:r>
    </w:p>
    <w:p w14:paraId="69B748E0" w14:textId="77777777" w:rsidR="005B1FD0" w:rsidRPr="005C23D6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7F2169C1" w:rsidR="005B1FD0" w:rsidRPr="005C23D6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  <w:u w:val="single"/>
        </w:rPr>
        <w:t>Hlavní inkompatibility</w:t>
      </w:r>
      <w:r w:rsidRPr="005C23D6">
        <w:t>:</w:t>
      </w:r>
    </w:p>
    <w:p w14:paraId="3F816227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C23D6">
        <w:rPr>
          <w:szCs w:val="22"/>
        </w:rPr>
        <w:t>Butorfanol</w:t>
      </w:r>
      <w:proofErr w:type="spellEnd"/>
      <w:r w:rsidRPr="005C23D6">
        <w:rPr>
          <w:szCs w:val="22"/>
        </w:rPr>
        <w:t xml:space="preserve"> nesmí být mísen s jinými veterinárními léčivými přípravky ve stejné stříkačce, vyjma následujících kombinací: </w:t>
      </w:r>
      <w:proofErr w:type="spellStart"/>
      <w:r w:rsidRPr="005C23D6">
        <w:rPr>
          <w:szCs w:val="22"/>
        </w:rPr>
        <w:t>butorfanol</w:t>
      </w:r>
      <w:proofErr w:type="spellEnd"/>
      <w:r w:rsidRPr="005C23D6">
        <w:rPr>
          <w:szCs w:val="22"/>
        </w:rPr>
        <w:t>/</w:t>
      </w:r>
      <w:proofErr w:type="spellStart"/>
      <w:r w:rsidRPr="005C23D6">
        <w:rPr>
          <w:szCs w:val="22"/>
        </w:rPr>
        <w:t>medetomidin</w:t>
      </w:r>
      <w:proofErr w:type="spellEnd"/>
      <w:r w:rsidRPr="005C23D6">
        <w:rPr>
          <w:szCs w:val="22"/>
        </w:rPr>
        <w:t xml:space="preserve">, </w:t>
      </w:r>
      <w:proofErr w:type="spellStart"/>
      <w:r w:rsidRPr="005C23D6">
        <w:rPr>
          <w:szCs w:val="22"/>
        </w:rPr>
        <w:t>butorfanol</w:t>
      </w:r>
      <w:proofErr w:type="spellEnd"/>
      <w:r w:rsidRPr="005C23D6">
        <w:rPr>
          <w:szCs w:val="22"/>
        </w:rPr>
        <w:t>/</w:t>
      </w:r>
      <w:proofErr w:type="spellStart"/>
      <w:r w:rsidRPr="005C23D6">
        <w:rPr>
          <w:szCs w:val="22"/>
        </w:rPr>
        <w:t>medetomidin</w:t>
      </w:r>
      <w:proofErr w:type="spellEnd"/>
      <w:r w:rsidRPr="005C23D6">
        <w:rPr>
          <w:szCs w:val="22"/>
        </w:rPr>
        <w:t>/</w:t>
      </w:r>
      <w:proofErr w:type="spellStart"/>
      <w:r w:rsidRPr="005C23D6">
        <w:rPr>
          <w:szCs w:val="22"/>
        </w:rPr>
        <w:t>ketamin</w:t>
      </w:r>
      <w:proofErr w:type="spellEnd"/>
      <w:r w:rsidRPr="005C23D6">
        <w:rPr>
          <w:szCs w:val="22"/>
        </w:rPr>
        <w:t xml:space="preserve"> a </w:t>
      </w:r>
      <w:proofErr w:type="spellStart"/>
      <w:r w:rsidRPr="005C23D6">
        <w:rPr>
          <w:szCs w:val="22"/>
        </w:rPr>
        <w:t>butorfanol</w:t>
      </w:r>
      <w:proofErr w:type="spellEnd"/>
      <w:r w:rsidRPr="005C23D6">
        <w:rPr>
          <w:szCs w:val="22"/>
        </w:rPr>
        <w:t>/</w:t>
      </w:r>
      <w:proofErr w:type="spellStart"/>
      <w:r w:rsidRPr="005C23D6">
        <w:rPr>
          <w:szCs w:val="22"/>
        </w:rPr>
        <w:t>acepromazin</w:t>
      </w:r>
      <w:proofErr w:type="spellEnd"/>
      <w:r w:rsidRPr="005C23D6">
        <w:rPr>
          <w:szCs w:val="22"/>
        </w:rPr>
        <w:t>.</w:t>
      </w:r>
    </w:p>
    <w:p w14:paraId="147FD16E" w14:textId="77777777" w:rsidR="005B1FD0" w:rsidRPr="005C23D6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5C23D6" w:rsidRDefault="00C605FD" w:rsidP="00F23F90">
      <w:pPr>
        <w:pStyle w:val="Style1"/>
        <w:keepNext/>
      </w:pPr>
      <w:r w:rsidRPr="005C23D6">
        <w:rPr>
          <w:highlight w:val="lightGray"/>
        </w:rPr>
        <w:lastRenderedPageBreak/>
        <w:t>7.</w:t>
      </w:r>
      <w:r w:rsidRPr="005C23D6">
        <w:tab/>
        <w:t>Nežádoucí účinky</w:t>
      </w:r>
    </w:p>
    <w:p w14:paraId="700B302D" w14:textId="77777777" w:rsidR="00C114FF" w:rsidRPr="005C23D6" w:rsidRDefault="00C114FF" w:rsidP="00F23F90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52FB70BF" w14:textId="77777777" w:rsidR="007032A3" w:rsidRPr="006414D3" w:rsidRDefault="007032A3" w:rsidP="00F23F90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Koně:</w:t>
      </w:r>
    </w:p>
    <w:p w14:paraId="13213C56" w14:textId="77777777" w:rsidR="007032A3" w:rsidRPr="006414D3" w:rsidRDefault="007032A3" w:rsidP="00F23F90">
      <w:pPr>
        <w:keepNext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032A3" w14:paraId="6473D424" w14:textId="77777777" w:rsidTr="00DF4518">
        <w:tc>
          <w:tcPr>
            <w:tcW w:w="1957" w:type="pct"/>
          </w:tcPr>
          <w:p w14:paraId="7D1466C3" w14:textId="77777777" w:rsidR="007032A3" w:rsidRDefault="007032A3" w:rsidP="00DF4518">
            <w:pPr>
              <w:spacing w:before="60" w:after="60"/>
            </w:pPr>
            <w:r>
              <w:rPr>
                <w:szCs w:val="22"/>
              </w:rPr>
              <w:t xml:space="preserve">Velmi časté </w:t>
            </w:r>
          </w:p>
          <w:p w14:paraId="12B73789" w14:textId="77777777" w:rsidR="007032A3" w:rsidRPr="006414D3" w:rsidRDefault="007032A3" w:rsidP="00DF4518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(&gt; 1 zvíře / 10 ošetřených zvířat):</w:t>
            </w:r>
          </w:p>
        </w:tc>
        <w:tc>
          <w:tcPr>
            <w:tcW w:w="3043" w:type="pct"/>
          </w:tcPr>
          <w:p w14:paraId="19DA3D71" w14:textId="77777777" w:rsidR="007032A3" w:rsidRPr="00EF4807" w:rsidRDefault="007032A3" w:rsidP="00DF4518">
            <w:pPr>
              <w:spacing w:before="60" w:after="60"/>
              <w:rPr>
                <w:iCs/>
                <w:vertAlign w:val="superscript"/>
              </w:rPr>
            </w:pPr>
            <w:proofErr w:type="spellStart"/>
            <w:r>
              <w:rPr>
                <w:iCs/>
                <w:szCs w:val="22"/>
              </w:rPr>
              <w:t>Sedace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</w:p>
        </w:tc>
      </w:tr>
      <w:tr w:rsidR="007032A3" w14:paraId="6DC936A2" w14:textId="77777777" w:rsidTr="00DF4518">
        <w:tc>
          <w:tcPr>
            <w:tcW w:w="1957" w:type="pct"/>
          </w:tcPr>
          <w:p w14:paraId="4A9E5CD8" w14:textId="77777777" w:rsidR="007032A3" w:rsidRPr="006414D3" w:rsidRDefault="007032A3" w:rsidP="00DF4518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385C964C" w14:textId="77777777" w:rsidR="007032A3" w:rsidRPr="006414D3" w:rsidRDefault="007032A3" w:rsidP="00DF4518">
            <w:pPr>
              <w:spacing w:before="60" w:after="60"/>
              <w:rPr>
                <w:szCs w:val="22"/>
              </w:rPr>
            </w:pPr>
            <w:proofErr w:type="gramStart"/>
            <w:r>
              <w:rPr>
                <w:szCs w:val="22"/>
              </w:rPr>
              <w:t>(&lt; 1</w:t>
            </w:r>
            <w:proofErr w:type="gramEnd"/>
            <w:r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43" w:type="pct"/>
            <w:hideMark/>
          </w:tcPr>
          <w:p w14:paraId="52FEB48E" w14:textId="3028D078" w:rsidR="007032A3" w:rsidRDefault="007032A3" w:rsidP="00DF4518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 xml:space="preserve">Bolest v místě </w:t>
            </w:r>
            <w:r w:rsidR="00FC23B4">
              <w:rPr>
                <w:iCs/>
                <w:szCs w:val="22"/>
              </w:rPr>
              <w:t xml:space="preserve">injekčního </w:t>
            </w:r>
            <w:proofErr w:type="spellStart"/>
            <w:r w:rsidR="00FC23B4">
              <w:rPr>
                <w:iCs/>
                <w:szCs w:val="22"/>
              </w:rPr>
              <w:t>podání</w:t>
            </w:r>
            <w:r>
              <w:rPr>
                <w:iCs/>
                <w:szCs w:val="22"/>
                <w:vertAlign w:val="superscript"/>
              </w:rPr>
              <w:t>b</w:t>
            </w:r>
            <w:proofErr w:type="spellEnd"/>
          </w:p>
          <w:p w14:paraId="1061885A" w14:textId="77777777" w:rsidR="007032A3" w:rsidRPr="00D41616" w:rsidRDefault="007032A3" w:rsidP="00DF4518">
            <w:pPr>
              <w:spacing w:before="60" w:after="60"/>
              <w:rPr>
                <w:iCs/>
              </w:rPr>
            </w:pPr>
            <w:proofErr w:type="spellStart"/>
            <w:r>
              <w:rPr>
                <w:iCs/>
                <w:szCs w:val="22"/>
              </w:rPr>
              <w:t>Ataxie</w:t>
            </w:r>
            <w:r>
              <w:rPr>
                <w:iCs/>
                <w:szCs w:val="22"/>
                <w:vertAlign w:val="superscript"/>
              </w:rPr>
              <w:t>c</w:t>
            </w:r>
            <w:proofErr w:type="spellEnd"/>
            <w:r>
              <w:rPr>
                <w:iCs/>
                <w:szCs w:val="22"/>
              </w:rPr>
              <w:t xml:space="preserve">, zvýšená motorická </w:t>
            </w:r>
            <w:proofErr w:type="spellStart"/>
            <w:r>
              <w:rPr>
                <w:iCs/>
                <w:szCs w:val="22"/>
              </w:rPr>
              <w:t>aktivita</w:t>
            </w:r>
            <w:r>
              <w:rPr>
                <w:iCs/>
                <w:szCs w:val="22"/>
                <w:vertAlign w:val="superscript"/>
              </w:rPr>
              <w:t>d</w:t>
            </w:r>
            <w:proofErr w:type="spellEnd"/>
            <w:r>
              <w:rPr>
                <w:iCs/>
                <w:szCs w:val="22"/>
              </w:rPr>
              <w:t>, chvění</w:t>
            </w:r>
          </w:p>
          <w:p w14:paraId="08B8933B" w14:textId="77777777" w:rsidR="007032A3" w:rsidRDefault="007032A3" w:rsidP="00DF4518">
            <w:pPr>
              <w:spacing w:before="60" w:after="60"/>
              <w:rPr>
                <w:iCs/>
                <w:vertAlign w:val="superscript"/>
              </w:rPr>
            </w:pPr>
            <w:r>
              <w:rPr>
                <w:iCs/>
                <w:szCs w:val="22"/>
              </w:rPr>
              <w:t>Neklid, dráždivé lokomoční účinky (např. </w:t>
            </w:r>
            <w:proofErr w:type="gramStart"/>
            <w:r>
              <w:rPr>
                <w:iCs/>
                <w:szCs w:val="22"/>
              </w:rPr>
              <w:t>přecházení)</w:t>
            </w:r>
            <w:r>
              <w:rPr>
                <w:iCs/>
                <w:szCs w:val="22"/>
                <w:vertAlign w:val="superscript"/>
              </w:rPr>
              <w:t>e</w:t>
            </w:r>
            <w:proofErr w:type="gramEnd"/>
          </w:p>
          <w:p w14:paraId="2BF4EA31" w14:textId="77777777" w:rsidR="007032A3" w:rsidRPr="006414D3" w:rsidRDefault="007032A3" w:rsidP="00DF451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Snížení gastrointestinální </w:t>
            </w:r>
            <w:proofErr w:type="spellStart"/>
            <w:r>
              <w:rPr>
                <w:iCs/>
                <w:szCs w:val="22"/>
              </w:rPr>
              <w:t>motility</w:t>
            </w:r>
            <w:r>
              <w:rPr>
                <w:iCs/>
                <w:szCs w:val="22"/>
                <w:vertAlign w:val="superscript"/>
              </w:rPr>
              <w:t>f</w:t>
            </w:r>
            <w:proofErr w:type="spellEnd"/>
          </w:p>
        </w:tc>
      </w:tr>
      <w:tr w:rsidR="007032A3" w14:paraId="4FFFA82A" w14:textId="77777777" w:rsidTr="00DF4518">
        <w:tc>
          <w:tcPr>
            <w:tcW w:w="1957" w:type="pct"/>
          </w:tcPr>
          <w:p w14:paraId="211261DF" w14:textId="28D26715" w:rsidR="00675570" w:rsidRDefault="00675570" w:rsidP="00DF4518">
            <w:pPr>
              <w:spacing w:before="60" w:after="60"/>
            </w:pPr>
            <w:r w:rsidRPr="00D52981">
              <w:t>Neznámá četnost</w:t>
            </w:r>
          </w:p>
          <w:p w14:paraId="0A4AB845" w14:textId="77777777" w:rsidR="007032A3" w:rsidRPr="006414D3" w:rsidRDefault="007032A3" w:rsidP="00DF4518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(z dostupných údajů nelze určit)</w:t>
            </w:r>
          </w:p>
        </w:tc>
        <w:tc>
          <w:tcPr>
            <w:tcW w:w="3043" w:type="pct"/>
          </w:tcPr>
          <w:p w14:paraId="6F8BE5E9" w14:textId="77777777" w:rsidR="007032A3" w:rsidRDefault="007032A3" w:rsidP="00DF4518">
            <w:pPr>
              <w:spacing w:before="60" w:after="60"/>
              <w:rPr>
                <w:iCs/>
                <w:vertAlign w:val="superscript"/>
              </w:rPr>
            </w:pPr>
            <w:r>
              <w:rPr>
                <w:iCs/>
                <w:szCs w:val="22"/>
              </w:rPr>
              <w:t xml:space="preserve">Srdeční </w:t>
            </w:r>
            <w:proofErr w:type="spellStart"/>
            <w:r>
              <w:rPr>
                <w:iCs/>
                <w:szCs w:val="22"/>
              </w:rPr>
              <w:t>deprese</w:t>
            </w:r>
            <w:r>
              <w:rPr>
                <w:iCs/>
                <w:szCs w:val="22"/>
                <w:vertAlign w:val="superscript"/>
              </w:rPr>
              <w:t>g</w:t>
            </w:r>
            <w:proofErr w:type="spellEnd"/>
          </w:p>
          <w:p w14:paraId="65001A59" w14:textId="77777777" w:rsidR="007032A3" w:rsidRPr="006414D3" w:rsidRDefault="007032A3" w:rsidP="00DF451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Respirační </w:t>
            </w:r>
            <w:proofErr w:type="spellStart"/>
            <w:r>
              <w:rPr>
                <w:iCs/>
                <w:szCs w:val="22"/>
              </w:rPr>
              <w:t>deprese</w:t>
            </w:r>
            <w:r>
              <w:rPr>
                <w:iCs/>
                <w:szCs w:val="22"/>
                <w:vertAlign w:val="superscript"/>
              </w:rPr>
              <w:t>g</w:t>
            </w:r>
            <w:proofErr w:type="spellEnd"/>
          </w:p>
        </w:tc>
      </w:tr>
    </w:tbl>
    <w:p w14:paraId="1DE33950" w14:textId="77777777" w:rsidR="007032A3" w:rsidRPr="00940534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a</w:t>
      </w:r>
      <w:r>
        <w:rPr>
          <w:szCs w:val="22"/>
        </w:rPr>
        <w:t xml:space="preserve"> Mírná </w:t>
      </w:r>
      <w:proofErr w:type="spellStart"/>
      <w:r>
        <w:rPr>
          <w:szCs w:val="22"/>
        </w:rPr>
        <w:t>sedace</w:t>
      </w:r>
      <w:proofErr w:type="spellEnd"/>
      <w:r>
        <w:rPr>
          <w:szCs w:val="22"/>
        </w:rPr>
        <w:t xml:space="preserve"> se může objevit přibližně u 15 % koní po podání </w:t>
      </w:r>
      <w:proofErr w:type="spellStart"/>
      <w:r>
        <w:rPr>
          <w:szCs w:val="22"/>
        </w:rPr>
        <w:t>butorfanolu</w:t>
      </w:r>
      <w:proofErr w:type="spellEnd"/>
      <w:r>
        <w:rPr>
          <w:szCs w:val="22"/>
        </w:rPr>
        <w:t xml:space="preserve"> samostatně.</w:t>
      </w:r>
    </w:p>
    <w:p w14:paraId="311A74AD" w14:textId="2AC96227" w:rsidR="007032A3" w:rsidRPr="00940534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b</w:t>
      </w:r>
      <w:r>
        <w:rPr>
          <w:szCs w:val="22"/>
        </w:rPr>
        <w:t xml:space="preserve"> Při intramuskulární</w:t>
      </w:r>
      <w:r w:rsidR="00FC23B4">
        <w:rPr>
          <w:szCs w:val="22"/>
        </w:rPr>
        <w:t>m podání</w:t>
      </w:r>
      <w:r>
        <w:rPr>
          <w:szCs w:val="22"/>
        </w:rPr>
        <w:t>.</w:t>
      </w:r>
    </w:p>
    <w:p w14:paraId="5EFAD6AE" w14:textId="77777777" w:rsidR="007032A3" w:rsidRDefault="007032A3" w:rsidP="007032A3">
      <w:pPr>
        <w:spacing w:before="60"/>
        <w:rPr>
          <w:color w:val="000000" w:themeColor="text1"/>
          <w:szCs w:val="22"/>
        </w:rPr>
      </w:pPr>
      <w:r>
        <w:rPr>
          <w:szCs w:val="22"/>
          <w:vertAlign w:val="superscript"/>
        </w:rPr>
        <w:t>c</w:t>
      </w:r>
      <w:r>
        <w:rPr>
          <w:szCs w:val="22"/>
        </w:rPr>
        <w:t xml:space="preserve"> Mírná ataxie může trvat 3 až 10 minut, ale v některých případech může ataxie trvat i 1 až 2 hodiny. Mírná až silná ataxie může nastat v kombinaci s </w:t>
      </w:r>
      <w:proofErr w:type="spellStart"/>
      <w:r>
        <w:rPr>
          <w:szCs w:val="22"/>
        </w:rPr>
        <w:t>detomidinem</w:t>
      </w:r>
      <w:proofErr w:type="spellEnd"/>
      <w:r>
        <w:rPr>
          <w:szCs w:val="22"/>
        </w:rPr>
        <w:t xml:space="preserve">, ale není pravděpodobné, že by kůň zkolaboval. Je nutné dodržovat běžná preventivní opatření, aby nedošlo ke zranění </w:t>
      </w:r>
      <w:r>
        <w:rPr>
          <w:color w:val="000000"/>
          <w:szCs w:val="22"/>
        </w:rPr>
        <w:t>(viz bod </w:t>
      </w:r>
      <w:bookmarkStart w:id="1" w:name="_Hlk177650367"/>
      <w:r>
        <w:rPr>
          <w:color w:val="000000"/>
          <w:szCs w:val="22"/>
        </w:rPr>
        <w:t>Zvláštní upozornění</w:t>
      </w:r>
      <w:bookmarkEnd w:id="1"/>
      <w:r>
        <w:rPr>
          <w:color w:val="000000"/>
          <w:szCs w:val="22"/>
        </w:rPr>
        <w:t>)</w:t>
      </w:r>
      <w:r>
        <w:rPr>
          <w:szCs w:val="22"/>
        </w:rPr>
        <w:t>.</w:t>
      </w:r>
    </w:p>
    <w:p w14:paraId="580AB623" w14:textId="59BFB96E" w:rsidR="007032A3" w:rsidRPr="002B2E87" w:rsidRDefault="007032A3" w:rsidP="007032A3">
      <w:pPr>
        <w:spacing w:before="60"/>
        <w:rPr>
          <w:szCs w:val="22"/>
        </w:rPr>
      </w:pPr>
      <w:r>
        <w:rPr>
          <w:color w:val="000000"/>
          <w:szCs w:val="22"/>
          <w:vertAlign w:val="superscript"/>
        </w:rPr>
        <w:t>d</w:t>
      </w:r>
      <w:r>
        <w:rPr>
          <w:color w:val="000000"/>
          <w:szCs w:val="22"/>
        </w:rPr>
        <w:t xml:space="preserve"> V některých případech může trvat 1 až 2 hodiny</w:t>
      </w:r>
      <w:r w:rsidR="00675570">
        <w:rPr>
          <w:color w:val="000000"/>
          <w:szCs w:val="22"/>
        </w:rPr>
        <w:t>.</w:t>
      </w:r>
    </w:p>
    <w:p w14:paraId="2DFA5041" w14:textId="77777777" w:rsidR="007032A3" w:rsidRPr="00940534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e</w:t>
      </w:r>
      <w:r>
        <w:rPr>
          <w:szCs w:val="22"/>
        </w:rPr>
        <w:t xml:space="preserve"> Po bolusovém </w:t>
      </w:r>
      <w:proofErr w:type="spellStart"/>
      <w:r>
        <w:rPr>
          <w:szCs w:val="22"/>
        </w:rPr>
        <w:t>i.v</w:t>
      </w:r>
      <w:proofErr w:type="spellEnd"/>
      <w:r>
        <w:rPr>
          <w:szCs w:val="22"/>
        </w:rPr>
        <w:t>. podání při maximální doporučené dávce (0,1 mg/kg živé hmotnosti) u klinicky zdravých koní.</w:t>
      </w:r>
    </w:p>
    <w:p w14:paraId="76E5AAE5" w14:textId="77777777" w:rsidR="007032A3" w:rsidRPr="00940534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f</w:t>
      </w:r>
      <w:r>
        <w:rPr>
          <w:szCs w:val="22"/>
        </w:rPr>
        <w:t xml:space="preserve"> U zdravých koní, ačkoli nedochází ke zkrácení času průchodu gastrointestinálním traktem. Tyto účinky závisí na dávce a jsou obecně mírné a přechodné.</w:t>
      </w:r>
    </w:p>
    <w:p w14:paraId="63DA18DD" w14:textId="77777777" w:rsidR="007032A3" w:rsidRPr="00940534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g</w:t>
      </w:r>
      <w:r>
        <w:rPr>
          <w:szCs w:val="22"/>
        </w:rPr>
        <w:t xml:space="preserve"> Při použití v kombinaci s agonisty alfa2-adrenoreceptorů může být deprese kardiopulmonálního systému ve vzácných případech smrtelná.</w:t>
      </w:r>
    </w:p>
    <w:p w14:paraId="40F8B1EC" w14:textId="77777777" w:rsidR="007032A3" w:rsidRDefault="007032A3" w:rsidP="007032A3">
      <w:pPr>
        <w:tabs>
          <w:tab w:val="clear" w:pos="567"/>
        </w:tabs>
        <w:spacing w:line="240" w:lineRule="auto"/>
        <w:rPr>
          <w:szCs w:val="22"/>
        </w:rPr>
      </w:pPr>
    </w:p>
    <w:p w14:paraId="1FCE8A32" w14:textId="77777777" w:rsidR="007032A3" w:rsidRPr="006414D3" w:rsidRDefault="007032A3" w:rsidP="007032A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51986360" w14:textId="77777777" w:rsidR="007032A3" w:rsidRDefault="007032A3" w:rsidP="007032A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032A3" w14:paraId="02E213B4" w14:textId="77777777" w:rsidTr="00DF4518">
        <w:tc>
          <w:tcPr>
            <w:tcW w:w="1957" w:type="pct"/>
          </w:tcPr>
          <w:p w14:paraId="5E293117" w14:textId="77777777" w:rsidR="007032A3" w:rsidRDefault="007032A3" w:rsidP="00DF4518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Vzácné</w:t>
            </w:r>
          </w:p>
          <w:p w14:paraId="6D4D29AD" w14:textId="77777777" w:rsidR="007032A3" w:rsidRPr="006414D3" w:rsidRDefault="007032A3" w:rsidP="00DF4518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(1 až 10 zvířat / 10 000 ošetřených zvířat):</w:t>
            </w:r>
          </w:p>
        </w:tc>
        <w:tc>
          <w:tcPr>
            <w:tcW w:w="3043" w:type="pct"/>
          </w:tcPr>
          <w:p w14:paraId="4444C862" w14:textId="77777777" w:rsidR="007032A3" w:rsidRDefault="007032A3" w:rsidP="00DF4518">
            <w:pPr>
              <w:spacing w:before="60" w:after="60"/>
              <w:rPr>
                <w:iCs/>
              </w:rPr>
            </w:pPr>
            <w:proofErr w:type="spellStart"/>
            <w:r>
              <w:rPr>
                <w:iCs/>
                <w:szCs w:val="22"/>
              </w:rPr>
              <w:t>Ataxie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1DC83F14" w14:textId="77777777" w:rsidR="007032A3" w:rsidRDefault="007032A3" w:rsidP="00DF4518">
            <w:pPr>
              <w:spacing w:before="60" w:after="60"/>
              <w:rPr>
                <w:iCs/>
              </w:rPr>
            </w:pPr>
            <w:proofErr w:type="spellStart"/>
            <w:r>
              <w:rPr>
                <w:iCs/>
                <w:szCs w:val="22"/>
              </w:rPr>
              <w:t>Anorexie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2628B630" w14:textId="77777777" w:rsidR="007032A3" w:rsidRPr="006414D3" w:rsidRDefault="007032A3" w:rsidP="00DF4518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Průjem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</w:p>
        </w:tc>
      </w:tr>
      <w:tr w:rsidR="007032A3" w14:paraId="3881C205" w14:textId="77777777" w:rsidTr="00DF4518">
        <w:tc>
          <w:tcPr>
            <w:tcW w:w="1957" w:type="pct"/>
          </w:tcPr>
          <w:p w14:paraId="361A7FB6" w14:textId="77777777" w:rsidR="007032A3" w:rsidRPr="006414D3" w:rsidRDefault="007032A3" w:rsidP="00DF4518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31A2401D" w14:textId="77777777" w:rsidR="007032A3" w:rsidRPr="006414D3" w:rsidRDefault="007032A3" w:rsidP="00DF4518">
            <w:pPr>
              <w:spacing w:before="60" w:after="60"/>
              <w:rPr>
                <w:szCs w:val="22"/>
              </w:rPr>
            </w:pPr>
            <w:proofErr w:type="gramStart"/>
            <w:r>
              <w:rPr>
                <w:szCs w:val="22"/>
              </w:rPr>
              <w:t>(&lt; 1</w:t>
            </w:r>
            <w:proofErr w:type="gramEnd"/>
            <w:r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43" w:type="pct"/>
            <w:hideMark/>
          </w:tcPr>
          <w:p w14:paraId="38825E98" w14:textId="77777777" w:rsidR="007032A3" w:rsidRDefault="007032A3" w:rsidP="00DF4518">
            <w:pPr>
              <w:spacing w:before="60" w:after="60"/>
              <w:rPr>
                <w:iCs/>
              </w:rPr>
            </w:pPr>
            <w:proofErr w:type="spellStart"/>
            <w:r>
              <w:rPr>
                <w:iCs/>
                <w:szCs w:val="22"/>
              </w:rPr>
              <w:t>Sedace</w:t>
            </w:r>
            <w:proofErr w:type="spellEnd"/>
          </w:p>
          <w:p w14:paraId="7C73C0AF" w14:textId="77777777" w:rsidR="007032A3" w:rsidRPr="002B2E87" w:rsidRDefault="007032A3" w:rsidP="00DF4518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 xml:space="preserve">Respirační </w:t>
            </w:r>
            <w:proofErr w:type="spellStart"/>
            <w:r>
              <w:rPr>
                <w:iCs/>
                <w:szCs w:val="22"/>
              </w:rPr>
              <w:t>deprese</w:t>
            </w:r>
            <w:r>
              <w:rPr>
                <w:iCs/>
                <w:szCs w:val="22"/>
                <w:vertAlign w:val="superscript"/>
              </w:rPr>
              <w:t>b</w:t>
            </w:r>
            <w:proofErr w:type="spellEnd"/>
            <w:r>
              <w:rPr>
                <w:iCs/>
                <w:szCs w:val="22"/>
              </w:rPr>
              <w:t xml:space="preserve"> (např. snížení dechové frekvence)</w:t>
            </w:r>
          </w:p>
          <w:p w14:paraId="7FB4071C" w14:textId="77777777" w:rsidR="007032A3" w:rsidRPr="002B2E87" w:rsidRDefault="007032A3" w:rsidP="00DF451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Srdeční </w:t>
            </w:r>
            <w:proofErr w:type="spellStart"/>
            <w:r>
              <w:rPr>
                <w:iCs/>
                <w:szCs w:val="22"/>
              </w:rPr>
              <w:t>deprese</w:t>
            </w:r>
            <w:r>
              <w:rPr>
                <w:iCs/>
                <w:szCs w:val="22"/>
                <w:vertAlign w:val="superscript"/>
              </w:rPr>
              <w:t>b</w:t>
            </w:r>
            <w:proofErr w:type="spellEnd"/>
            <w:r>
              <w:rPr>
                <w:iCs/>
                <w:szCs w:val="22"/>
              </w:rPr>
              <w:t xml:space="preserve"> (např. </w:t>
            </w:r>
            <w:proofErr w:type="spellStart"/>
            <w:r>
              <w:rPr>
                <w:iCs/>
                <w:szCs w:val="22"/>
              </w:rPr>
              <w:t>bradykardie</w:t>
            </w:r>
            <w:r>
              <w:rPr>
                <w:iCs/>
                <w:szCs w:val="22"/>
                <w:vertAlign w:val="superscript"/>
              </w:rPr>
              <w:t>c</w:t>
            </w:r>
            <w:proofErr w:type="spellEnd"/>
            <w:r>
              <w:rPr>
                <w:iCs/>
                <w:szCs w:val="22"/>
              </w:rPr>
              <w:t xml:space="preserve">, pokles krevního </w:t>
            </w:r>
            <w:proofErr w:type="spellStart"/>
            <w:r>
              <w:rPr>
                <w:iCs/>
                <w:szCs w:val="22"/>
              </w:rPr>
              <w:t>tlaku</w:t>
            </w:r>
            <w:r>
              <w:rPr>
                <w:iCs/>
                <w:szCs w:val="22"/>
                <w:vertAlign w:val="superscript"/>
              </w:rPr>
              <w:t>d</w:t>
            </w:r>
            <w:proofErr w:type="spellEnd"/>
            <w:r>
              <w:rPr>
                <w:iCs/>
                <w:szCs w:val="22"/>
              </w:rPr>
              <w:t>).</w:t>
            </w:r>
          </w:p>
        </w:tc>
      </w:tr>
      <w:tr w:rsidR="007032A3" w14:paraId="1B2FD273" w14:textId="77777777" w:rsidTr="00DF4518">
        <w:tc>
          <w:tcPr>
            <w:tcW w:w="1957" w:type="pct"/>
          </w:tcPr>
          <w:p w14:paraId="31FFD9E5" w14:textId="1893D33B" w:rsidR="00675570" w:rsidRDefault="00675570" w:rsidP="00DF4518">
            <w:pPr>
              <w:spacing w:before="60" w:after="60"/>
            </w:pPr>
            <w:r w:rsidRPr="00D52981">
              <w:t>Neznámá četnost</w:t>
            </w:r>
            <w:r>
              <w:t xml:space="preserve"> </w:t>
            </w:r>
          </w:p>
          <w:p w14:paraId="5C32A257" w14:textId="77777777" w:rsidR="007032A3" w:rsidRPr="006414D3" w:rsidRDefault="007032A3" w:rsidP="00DF4518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(z dostupných údajů nelze určit)</w:t>
            </w:r>
          </w:p>
        </w:tc>
        <w:tc>
          <w:tcPr>
            <w:tcW w:w="3043" w:type="pct"/>
          </w:tcPr>
          <w:p w14:paraId="1D8AC4F1" w14:textId="7A1B496F" w:rsidR="007032A3" w:rsidRDefault="007032A3" w:rsidP="00DF4518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 xml:space="preserve">Bolest v místě </w:t>
            </w:r>
            <w:r w:rsidR="00FC23B4">
              <w:rPr>
                <w:iCs/>
                <w:szCs w:val="22"/>
              </w:rPr>
              <w:t xml:space="preserve">injekčního </w:t>
            </w:r>
            <w:proofErr w:type="spellStart"/>
            <w:r w:rsidR="00FC23B4">
              <w:rPr>
                <w:iCs/>
                <w:szCs w:val="22"/>
              </w:rPr>
              <w:t>podání</w:t>
            </w:r>
            <w:r>
              <w:rPr>
                <w:iCs/>
                <w:szCs w:val="22"/>
                <w:vertAlign w:val="superscript"/>
              </w:rPr>
              <w:t>e</w:t>
            </w:r>
            <w:proofErr w:type="spellEnd"/>
          </w:p>
          <w:p w14:paraId="6FB20327" w14:textId="77777777" w:rsidR="007032A3" w:rsidRPr="006414D3" w:rsidRDefault="007032A3" w:rsidP="00DF451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Snížení gastrointestinální motility</w:t>
            </w:r>
          </w:p>
        </w:tc>
      </w:tr>
    </w:tbl>
    <w:p w14:paraId="14A9532E" w14:textId="77777777" w:rsidR="007032A3" w:rsidRPr="00940534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a</w:t>
      </w:r>
      <w:r>
        <w:rPr>
          <w:szCs w:val="22"/>
        </w:rPr>
        <w:t xml:space="preserve"> Přechodné.</w:t>
      </w:r>
    </w:p>
    <w:p w14:paraId="3EE8D78A" w14:textId="77777777" w:rsidR="007032A3" w:rsidRDefault="007032A3" w:rsidP="007032A3">
      <w:pPr>
        <w:spacing w:before="60"/>
        <w:rPr>
          <w:sz w:val="24"/>
          <w:szCs w:val="22"/>
        </w:rPr>
      </w:pPr>
      <w:r>
        <w:rPr>
          <w:szCs w:val="22"/>
          <w:vertAlign w:val="superscript"/>
        </w:rPr>
        <w:t>b</w:t>
      </w:r>
      <w:r>
        <w:rPr>
          <w:szCs w:val="22"/>
        </w:rPr>
        <w:t xml:space="preserve"> Stupeň deprese závisí na dávce. Jestliže se vyskytne respirační deprese, lze použít </w:t>
      </w:r>
      <w:proofErr w:type="spellStart"/>
      <w:r>
        <w:rPr>
          <w:szCs w:val="22"/>
        </w:rPr>
        <w:t>naloxon</w:t>
      </w:r>
      <w:proofErr w:type="spellEnd"/>
      <w:r>
        <w:rPr>
          <w:szCs w:val="22"/>
        </w:rPr>
        <w:t xml:space="preserve"> jako </w:t>
      </w:r>
      <w:proofErr w:type="spellStart"/>
      <w:r>
        <w:rPr>
          <w:szCs w:val="22"/>
        </w:rPr>
        <w:t>antidotum</w:t>
      </w:r>
      <w:proofErr w:type="spellEnd"/>
      <w:r>
        <w:rPr>
          <w:szCs w:val="22"/>
        </w:rPr>
        <w:t xml:space="preserve">. Mírná až značná kardiopulmonální deprese může nastat při rychlém intravenózním podání </w:t>
      </w:r>
      <w:proofErr w:type="spellStart"/>
      <w:r>
        <w:rPr>
          <w:szCs w:val="22"/>
        </w:rPr>
        <w:t>butorfanolu</w:t>
      </w:r>
      <w:proofErr w:type="spellEnd"/>
      <w:r>
        <w:rPr>
          <w:sz w:val="24"/>
          <w:szCs w:val="24"/>
        </w:rPr>
        <w:t xml:space="preserve"> </w:t>
      </w:r>
    </w:p>
    <w:p w14:paraId="05A19C15" w14:textId="77777777" w:rsidR="007032A3" w:rsidRDefault="007032A3" w:rsidP="007032A3">
      <w:pPr>
        <w:spacing w:before="60"/>
        <w:rPr>
          <w:szCs w:val="22"/>
        </w:rPr>
      </w:pPr>
      <w:r>
        <w:rPr>
          <w:sz w:val="24"/>
          <w:szCs w:val="24"/>
          <w:vertAlign w:val="superscript"/>
        </w:rPr>
        <w:t>c</w:t>
      </w:r>
      <w:r>
        <w:rPr>
          <w:sz w:val="24"/>
          <w:szCs w:val="24"/>
        </w:rPr>
        <w:t xml:space="preserve"> </w:t>
      </w:r>
      <w:r>
        <w:rPr>
          <w:szCs w:val="22"/>
        </w:rPr>
        <w:t xml:space="preserve">Při použití </w:t>
      </w:r>
      <w:proofErr w:type="spellStart"/>
      <w:r>
        <w:rPr>
          <w:szCs w:val="22"/>
        </w:rPr>
        <w:t>butorfanolu</w:t>
      </w:r>
      <w:proofErr w:type="spellEnd"/>
      <w:r>
        <w:rPr>
          <w:szCs w:val="22"/>
        </w:rPr>
        <w:t xml:space="preserve"> jako </w:t>
      </w:r>
      <w:proofErr w:type="spellStart"/>
      <w:r>
        <w:rPr>
          <w:szCs w:val="22"/>
        </w:rPr>
        <w:t>preanestetika</w:t>
      </w:r>
      <w:proofErr w:type="spellEnd"/>
      <w:r>
        <w:rPr>
          <w:szCs w:val="22"/>
        </w:rPr>
        <w:t xml:space="preserve"> chrání srdce před případnou bradykardií vyvolanou narkotikem podání </w:t>
      </w:r>
      <w:proofErr w:type="spellStart"/>
      <w:r>
        <w:rPr>
          <w:szCs w:val="22"/>
        </w:rPr>
        <w:t>anticholinergika</w:t>
      </w:r>
      <w:proofErr w:type="spellEnd"/>
      <w:r>
        <w:rPr>
          <w:szCs w:val="22"/>
        </w:rPr>
        <w:t>, např. atropinu.</w:t>
      </w:r>
    </w:p>
    <w:p w14:paraId="23ED8807" w14:textId="77777777" w:rsidR="007032A3" w:rsidRPr="002B2E87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d</w:t>
      </w:r>
      <w:r>
        <w:rPr>
          <w:szCs w:val="22"/>
        </w:rPr>
        <w:t xml:space="preserve"> Pokles diastolického tlaku (viz bod </w:t>
      </w:r>
      <w:r>
        <w:rPr>
          <w:color w:val="000000"/>
          <w:szCs w:val="22"/>
        </w:rPr>
        <w:t>Zvláštní upozornění</w:t>
      </w:r>
      <w:r>
        <w:rPr>
          <w:szCs w:val="22"/>
        </w:rPr>
        <w:t>).</w:t>
      </w:r>
    </w:p>
    <w:p w14:paraId="6A88496F" w14:textId="03DD20B6" w:rsidR="007032A3" w:rsidRPr="00940534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e</w:t>
      </w:r>
      <w:r>
        <w:rPr>
          <w:szCs w:val="22"/>
        </w:rPr>
        <w:t xml:space="preserve"> Při intramuskulární</w:t>
      </w:r>
      <w:r w:rsidR="00FC23B4">
        <w:rPr>
          <w:szCs w:val="22"/>
        </w:rPr>
        <w:t>m podání</w:t>
      </w:r>
      <w:r>
        <w:rPr>
          <w:szCs w:val="22"/>
        </w:rPr>
        <w:t>.</w:t>
      </w:r>
    </w:p>
    <w:p w14:paraId="09761FD0" w14:textId="77777777" w:rsidR="007032A3" w:rsidRDefault="007032A3" w:rsidP="007032A3">
      <w:pPr>
        <w:tabs>
          <w:tab w:val="clear" w:pos="567"/>
        </w:tabs>
        <w:spacing w:line="240" w:lineRule="auto"/>
        <w:rPr>
          <w:szCs w:val="22"/>
        </w:rPr>
      </w:pPr>
    </w:p>
    <w:p w14:paraId="13AF250A" w14:textId="77777777" w:rsidR="007032A3" w:rsidRPr="006414D3" w:rsidRDefault="007032A3" w:rsidP="007032A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Kočky:</w:t>
      </w:r>
    </w:p>
    <w:p w14:paraId="412CA622" w14:textId="77777777" w:rsidR="007032A3" w:rsidRDefault="007032A3" w:rsidP="007032A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032A3" w14:paraId="5C421326" w14:textId="77777777" w:rsidTr="00DF4518">
        <w:tc>
          <w:tcPr>
            <w:tcW w:w="1957" w:type="pct"/>
          </w:tcPr>
          <w:p w14:paraId="68EE345A" w14:textId="77777777" w:rsidR="007032A3" w:rsidRPr="006414D3" w:rsidRDefault="007032A3" w:rsidP="00DF4518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155B3DE9" w14:textId="77777777" w:rsidR="007032A3" w:rsidRPr="006414D3" w:rsidRDefault="007032A3" w:rsidP="00DF4518">
            <w:pPr>
              <w:spacing w:before="60" w:after="60"/>
              <w:rPr>
                <w:szCs w:val="22"/>
              </w:rPr>
            </w:pPr>
            <w:proofErr w:type="gramStart"/>
            <w:r>
              <w:rPr>
                <w:szCs w:val="22"/>
              </w:rPr>
              <w:t>(&lt; 1</w:t>
            </w:r>
            <w:proofErr w:type="gramEnd"/>
            <w:r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43" w:type="pct"/>
            <w:hideMark/>
          </w:tcPr>
          <w:p w14:paraId="6862C59F" w14:textId="77777777" w:rsidR="007032A3" w:rsidRDefault="007032A3" w:rsidP="00DF4518">
            <w:pPr>
              <w:spacing w:before="60" w:after="60"/>
              <w:rPr>
                <w:iCs/>
                <w:vertAlign w:val="superscript"/>
              </w:rPr>
            </w:pPr>
            <w:r>
              <w:rPr>
                <w:iCs/>
                <w:szCs w:val="22"/>
              </w:rPr>
              <w:t xml:space="preserve">Respirační </w:t>
            </w:r>
            <w:proofErr w:type="spellStart"/>
            <w:r>
              <w:rPr>
                <w:iCs/>
                <w:szCs w:val="22"/>
              </w:rPr>
              <w:t>deprese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30444485" w14:textId="77777777" w:rsidR="007032A3" w:rsidRDefault="007032A3" w:rsidP="00DF4518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>Mydriáza</w:t>
            </w:r>
          </w:p>
          <w:p w14:paraId="46058166" w14:textId="77777777" w:rsidR="007032A3" w:rsidRPr="006414D3" w:rsidRDefault="007032A3" w:rsidP="00DF451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Podrážděnost</w:t>
            </w:r>
          </w:p>
        </w:tc>
      </w:tr>
      <w:tr w:rsidR="007032A3" w14:paraId="438E6F6E" w14:textId="77777777" w:rsidTr="00DF4518">
        <w:tc>
          <w:tcPr>
            <w:tcW w:w="1957" w:type="pct"/>
          </w:tcPr>
          <w:p w14:paraId="18D79554" w14:textId="12589CD3" w:rsidR="00675570" w:rsidRDefault="00675570" w:rsidP="00DF4518">
            <w:pPr>
              <w:spacing w:before="60" w:after="60"/>
            </w:pPr>
            <w:r w:rsidRPr="00D52981">
              <w:t>Neznámá četnost</w:t>
            </w:r>
            <w:r>
              <w:t xml:space="preserve"> </w:t>
            </w:r>
          </w:p>
          <w:p w14:paraId="191DD694" w14:textId="77777777" w:rsidR="007032A3" w:rsidRPr="006414D3" w:rsidRDefault="007032A3" w:rsidP="00DF4518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(z dostupných údajů nelze určit)</w:t>
            </w:r>
          </w:p>
        </w:tc>
        <w:tc>
          <w:tcPr>
            <w:tcW w:w="3043" w:type="pct"/>
          </w:tcPr>
          <w:p w14:paraId="28BDA72F" w14:textId="6C84F6C8" w:rsidR="007032A3" w:rsidRDefault="007032A3" w:rsidP="00DF4518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 xml:space="preserve">Bolest v místě </w:t>
            </w:r>
            <w:r w:rsidR="00FC23B4">
              <w:rPr>
                <w:iCs/>
                <w:szCs w:val="22"/>
              </w:rPr>
              <w:t xml:space="preserve">injekčního </w:t>
            </w:r>
            <w:proofErr w:type="spellStart"/>
            <w:r w:rsidR="00FC23B4">
              <w:rPr>
                <w:iCs/>
                <w:szCs w:val="22"/>
              </w:rPr>
              <w:t>podání</w:t>
            </w:r>
            <w:r>
              <w:rPr>
                <w:iCs/>
                <w:szCs w:val="22"/>
                <w:vertAlign w:val="superscript"/>
              </w:rPr>
              <w:t>b</w:t>
            </w:r>
            <w:proofErr w:type="spellEnd"/>
          </w:p>
          <w:p w14:paraId="0EC3917D" w14:textId="77777777" w:rsidR="007032A3" w:rsidRDefault="007032A3" w:rsidP="00DF4518">
            <w:pPr>
              <w:spacing w:before="60" w:after="60"/>
              <w:rPr>
                <w:iCs/>
              </w:rPr>
            </w:pPr>
            <w:proofErr w:type="spellStart"/>
            <w:r>
              <w:rPr>
                <w:iCs/>
                <w:szCs w:val="22"/>
              </w:rPr>
              <w:t>Sedace</w:t>
            </w:r>
            <w:proofErr w:type="spellEnd"/>
            <w:r>
              <w:rPr>
                <w:iCs/>
                <w:szCs w:val="22"/>
              </w:rPr>
              <w:t>, dezorientace</w:t>
            </w:r>
          </w:p>
          <w:p w14:paraId="7FB132F6" w14:textId="77777777" w:rsidR="007032A3" w:rsidRDefault="007032A3" w:rsidP="00DF4518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</w:rPr>
              <w:t>Úzkost</w:t>
            </w:r>
          </w:p>
          <w:p w14:paraId="4BFCFD4E" w14:textId="77777777" w:rsidR="007032A3" w:rsidRPr="006414D3" w:rsidRDefault="007032A3" w:rsidP="00DF451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Dysforie</w:t>
            </w:r>
          </w:p>
        </w:tc>
      </w:tr>
    </w:tbl>
    <w:p w14:paraId="4A559D7C" w14:textId="77777777" w:rsidR="007032A3" w:rsidRPr="006A30DD" w:rsidRDefault="007032A3" w:rsidP="007032A3">
      <w:pPr>
        <w:spacing w:before="60"/>
        <w:rPr>
          <w:szCs w:val="22"/>
        </w:rPr>
      </w:pPr>
      <w:r>
        <w:rPr>
          <w:szCs w:val="22"/>
          <w:vertAlign w:val="superscript"/>
        </w:rPr>
        <w:t>a</w:t>
      </w:r>
      <w:r>
        <w:rPr>
          <w:szCs w:val="22"/>
        </w:rPr>
        <w:t xml:space="preserve"> Jako </w:t>
      </w:r>
      <w:proofErr w:type="spellStart"/>
      <w:r>
        <w:rPr>
          <w:szCs w:val="22"/>
        </w:rPr>
        <w:t>antidotum</w:t>
      </w:r>
      <w:proofErr w:type="spellEnd"/>
      <w:r>
        <w:rPr>
          <w:szCs w:val="22"/>
        </w:rPr>
        <w:t xml:space="preserve"> lze použít </w:t>
      </w:r>
      <w:proofErr w:type="spellStart"/>
      <w:r>
        <w:rPr>
          <w:szCs w:val="22"/>
        </w:rPr>
        <w:t>naloxon</w:t>
      </w:r>
      <w:proofErr w:type="spellEnd"/>
      <w:r>
        <w:rPr>
          <w:szCs w:val="22"/>
        </w:rPr>
        <w:t>.</w:t>
      </w:r>
    </w:p>
    <w:p w14:paraId="67E8287D" w14:textId="43FC5656" w:rsidR="0091648F" w:rsidRPr="007032A3" w:rsidRDefault="007032A3" w:rsidP="00FC50AA">
      <w:pPr>
        <w:spacing w:before="60"/>
        <w:rPr>
          <w:szCs w:val="22"/>
        </w:rPr>
      </w:pPr>
      <w:r>
        <w:rPr>
          <w:szCs w:val="22"/>
          <w:vertAlign w:val="superscript"/>
        </w:rPr>
        <w:t>b</w:t>
      </w:r>
      <w:r>
        <w:rPr>
          <w:szCs w:val="22"/>
        </w:rPr>
        <w:t xml:space="preserve"> Při intramuskulární</w:t>
      </w:r>
      <w:r w:rsidR="00FC23B4">
        <w:rPr>
          <w:szCs w:val="22"/>
        </w:rPr>
        <w:t>m podání</w:t>
      </w:r>
      <w:r>
        <w:rPr>
          <w:szCs w:val="22"/>
        </w:rPr>
        <w:t>.</w:t>
      </w:r>
    </w:p>
    <w:p w14:paraId="3CD64B25" w14:textId="77777777" w:rsidR="00466378" w:rsidRPr="005C23D6" w:rsidRDefault="0046637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BACA8DC" w14:textId="77777777" w:rsidR="00516E21" w:rsidRPr="005C23D6" w:rsidRDefault="00516E21" w:rsidP="00516E21">
      <w:pPr>
        <w:rPr>
          <w:szCs w:val="22"/>
        </w:rPr>
      </w:pPr>
      <w:r w:rsidRPr="005C23D6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nebo místní zástupce držitele rozhodnutí o registraci s využitím kontaktních údajů uvedených na konci této příbalové informace nebo prostřednictvím národního systému hlášení nežádoucích účinků: </w:t>
      </w:r>
    </w:p>
    <w:p w14:paraId="49D6BD23" w14:textId="77777777" w:rsidR="00516E21" w:rsidRPr="005C23D6" w:rsidRDefault="00516E21" w:rsidP="00516E21">
      <w:pPr>
        <w:tabs>
          <w:tab w:val="left" w:pos="-720"/>
        </w:tabs>
        <w:suppressAutoHyphens/>
        <w:rPr>
          <w:noProof/>
          <w:szCs w:val="22"/>
        </w:rPr>
      </w:pPr>
    </w:p>
    <w:p w14:paraId="4E22D0EA" w14:textId="77777777" w:rsidR="00516E21" w:rsidRPr="005C23D6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5C23D6">
        <w:rPr>
          <w:rFonts w:cs="Arial"/>
          <w:szCs w:val="22"/>
        </w:rPr>
        <w:t xml:space="preserve">Ústav pro státní kontrolu veterinárních biopreparátů a léčiv </w:t>
      </w:r>
    </w:p>
    <w:p w14:paraId="28B57BBF" w14:textId="354C7F1B" w:rsidR="00516E21" w:rsidRPr="005C23D6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5C23D6">
        <w:rPr>
          <w:rFonts w:cs="Arial"/>
          <w:szCs w:val="22"/>
        </w:rPr>
        <w:t xml:space="preserve">Hudcova </w:t>
      </w:r>
      <w:r w:rsidR="00675570">
        <w:rPr>
          <w:rFonts w:cs="Arial"/>
          <w:szCs w:val="22"/>
        </w:rPr>
        <w:t>232/</w:t>
      </w:r>
      <w:proofErr w:type="gramStart"/>
      <w:r w:rsidRPr="005C23D6">
        <w:rPr>
          <w:rFonts w:cs="Arial"/>
          <w:szCs w:val="22"/>
        </w:rPr>
        <w:t>56a</w:t>
      </w:r>
      <w:proofErr w:type="gramEnd"/>
      <w:r w:rsidRPr="005C23D6">
        <w:rPr>
          <w:rFonts w:cs="Arial"/>
          <w:szCs w:val="22"/>
        </w:rPr>
        <w:t xml:space="preserve"> </w:t>
      </w:r>
    </w:p>
    <w:p w14:paraId="555926F3" w14:textId="77777777" w:rsidR="00516E21" w:rsidRPr="005C23D6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5C23D6">
        <w:rPr>
          <w:rFonts w:cs="Arial"/>
          <w:szCs w:val="22"/>
        </w:rPr>
        <w:t>621 00 Brno</w:t>
      </w:r>
    </w:p>
    <w:p w14:paraId="58382CF1" w14:textId="4288E880" w:rsidR="00516E21" w:rsidRPr="005C23D6" w:rsidRDefault="00675570" w:rsidP="00516E21">
      <w:pPr>
        <w:tabs>
          <w:tab w:val="left" w:pos="-720"/>
        </w:tabs>
        <w:suppressAutoHyphens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131680">
        <w:rPr>
          <w:rFonts w:cs="Arial"/>
          <w:szCs w:val="22"/>
        </w:rPr>
        <w:t>-m</w:t>
      </w:r>
      <w:r w:rsidR="00516E21" w:rsidRPr="005C23D6">
        <w:rPr>
          <w:rFonts w:cs="Arial"/>
          <w:szCs w:val="22"/>
        </w:rPr>
        <w:t xml:space="preserve">ail: </w:t>
      </w:r>
      <w:hyperlink r:id="rId8" w:history="1">
        <w:r w:rsidR="00516E21" w:rsidRPr="005C23D6">
          <w:rPr>
            <w:rStyle w:val="Hypertextovodkaz"/>
            <w:rFonts w:cs="Arial"/>
            <w:szCs w:val="22"/>
          </w:rPr>
          <w:t>adr@uskvbl.cz</w:t>
        </w:r>
      </w:hyperlink>
    </w:p>
    <w:p w14:paraId="7E20EC45" w14:textId="194C4660" w:rsidR="00516E21" w:rsidRPr="005C23D6" w:rsidRDefault="00516E21" w:rsidP="00516E21">
      <w:pPr>
        <w:tabs>
          <w:tab w:val="left" w:pos="-720"/>
        </w:tabs>
        <w:suppressAutoHyphens/>
        <w:rPr>
          <w:rStyle w:val="Hypertextovodkaz"/>
          <w:szCs w:val="22"/>
        </w:rPr>
      </w:pPr>
      <w:r w:rsidRPr="005C23D6">
        <w:rPr>
          <w:rFonts w:cs="Arial"/>
          <w:szCs w:val="22"/>
        </w:rPr>
        <w:t xml:space="preserve">Webové stránky: </w:t>
      </w:r>
      <w:hyperlink r:id="rId9" w:history="1">
        <w:r w:rsidRPr="005C23D6">
          <w:rPr>
            <w:rStyle w:val="Hypertextovodkaz"/>
            <w:rFonts w:cs="Arial"/>
            <w:szCs w:val="22"/>
          </w:rPr>
          <w:t>www.uskvbl.cz/cs/farmakovigilance</w:t>
        </w:r>
      </w:hyperlink>
    </w:p>
    <w:p w14:paraId="45F29FC5" w14:textId="77777777" w:rsidR="00F520FE" w:rsidRPr="005C23D6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B26505" w14:textId="77777777" w:rsidR="00516E21" w:rsidRPr="005C23D6" w:rsidRDefault="00516E2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5C23D6" w:rsidRDefault="00C605FD" w:rsidP="00B13B6D">
      <w:pPr>
        <w:pStyle w:val="Style1"/>
      </w:pPr>
      <w:r w:rsidRPr="005C23D6">
        <w:rPr>
          <w:highlight w:val="lightGray"/>
        </w:rPr>
        <w:t>8.</w:t>
      </w:r>
      <w:r w:rsidRPr="005C23D6">
        <w:tab/>
        <w:t>Dávkování pro každý druh, cesty a způsob podání</w:t>
      </w:r>
    </w:p>
    <w:p w14:paraId="6EEA3383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764329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Pes a kočka: </w:t>
      </w:r>
      <w:r w:rsidRPr="005C23D6">
        <w:rPr>
          <w:szCs w:val="22"/>
        </w:rPr>
        <w:tab/>
        <w:t>Intravenózní, intramuskulární a subkutánní podání.</w:t>
      </w:r>
    </w:p>
    <w:p w14:paraId="1BFB6638" w14:textId="6F4D9A8A" w:rsidR="00466378" w:rsidRPr="005C23D6" w:rsidRDefault="00466378" w:rsidP="0046637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5C23D6">
        <w:rPr>
          <w:color w:val="000000"/>
          <w:szCs w:val="22"/>
        </w:rPr>
        <w:t xml:space="preserve">Kůň: </w:t>
      </w:r>
      <w:r w:rsidRPr="005C23D6">
        <w:rPr>
          <w:color w:val="000000"/>
          <w:szCs w:val="22"/>
        </w:rPr>
        <w:tab/>
      </w:r>
      <w:r w:rsidRPr="005C23D6">
        <w:rPr>
          <w:color w:val="000000"/>
          <w:szCs w:val="22"/>
        </w:rPr>
        <w:tab/>
      </w:r>
      <w:r w:rsidR="00E6057D">
        <w:rPr>
          <w:color w:val="000000"/>
          <w:szCs w:val="22"/>
        </w:rPr>
        <w:tab/>
      </w:r>
      <w:r w:rsidRPr="005C23D6">
        <w:rPr>
          <w:color w:val="000000"/>
          <w:szCs w:val="22"/>
        </w:rPr>
        <w:t xml:space="preserve">Intravenózní podání. </w:t>
      </w:r>
    </w:p>
    <w:p w14:paraId="443DA96E" w14:textId="77777777" w:rsidR="00466378" w:rsidRDefault="00466378" w:rsidP="00466378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</w:p>
    <w:p w14:paraId="79D2C532" w14:textId="6963D2E5" w:rsidR="00E6057D" w:rsidRDefault="00E6057D" w:rsidP="00466378">
      <w:pPr>
        <w:tabs>
          <w:tab w:val="clear" w:pos="567"/>
          <w:tab w:val="left" w:pos="0"/>
        </w:tabs>
        <w:spacing w:line="240" w:lineRule="auto"/>
        <w:jc w:val="both"/>
      </w:pPr>
      <w:r w:rsidRPr="00B41D57">
        <w:t>Pro zajištění správného dávkování je třeba co nejpřesněji stanovit živou hmotnost.</w:t>
      </w:r>
    </w:p>
    <w:p w14:paraId="6AB96B36" w14:textId="77777777" w:rsidR="00E6057D" w:rsidRPr="005C23D6" w:rsidRDefault="00E6057D" w:rsidP="00466378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</w:p>
    <w:p w14:paraId="0C99B4E2" w14:textId="4B8E4FF8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C23D6">
        <w:rPr>
          <w:szCs w:val="22"/>
          <w:u w:val="single"/>
        </w:rPr>
        <w:t>Pes</w:t>
      </w:r>
      <w:r w:rsidR="00E6057D" w:rsidRPr="00C97A66">
        <w:rPr>
          <w:szCs w:val="22"/>
        </w:rPr>
        <w:t>:</w:t>
      </w:r>
    </w:p>
    <w:p w14:paraId="7FBD065C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14:paraId="11A9E379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>Pro analgezii:</w:t>
      </w: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3213"/>
        <w:gridCol w:w="4406"/>
      </w:tblGrid>
      <w:tr w:rsidR="00466378" w:rsidRPr="005C23D6" w14:paraId="721D1508" w14:textId="77777777" w:rsidTr="00DF4518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8849BC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8194A7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76309EF6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butorfanolu</w:t>
            </w:r>
            <w:proofErr w:type="spellEnd"/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4F2A78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</w:tr>
      <w:tr w:rsidR="00466378" w:rsidRPr="005C23D6" w14:paraId="1454014C" w14:textId="77777777" w:rsidTr="00DF4518">
        <w:tc>
          <w:tcPr>
            <w:tcW w:w="607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CD322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54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FCA9AD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539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62205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466378" w:rsidRPr="005C23D6" w14:paraId="3F42CFE2" w14:textId="77777777" w:rsidTr="00DF4518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6E2A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i.v</w:t>
            </w:r>
            <w:proofErr w:type="spellEnd"/>
            <w:r w:rsidRPr="005C23D6">
              <w:rPr>
                <w:color w:val="000000"/>
                <w:szCs w:val="22"/>
              </w:rPr>
              <w:t xml:space="preserve">., </w:t>
            </w:r>
            <w:proofErr w:type="spellStart"/>
            <w:r w:rsidRPr="005C23D6">
              <w:rPr>
                <w:color w:val="000000"/>
                <w:szCs w:val="22"/>
              </w:rPr>
              <w:t>i.m</w:t>
            </w:r>
            <w:proofErr w:type="spellEnd"/>
            <w:r w:rsidRPr="005C23D6">
              <w:rPr>
                <w:color w:val="000000"/>
                <w:szCs w:val="22"/>
              </w:rPr>
              <w:t xml:space="preserve">., nebo </w:t>
            </w:r>
            <w:proofErr w:type="spellStart"/>
            <w:r w:rsidRPr="005C23D6">
              <w:rPr>
                <w:color w:val="000000"/>
                <w:szCs w:val="22"/>
              </w:rPr>
              <w:t>s.c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2BE2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0,20</w:t>
            </w:r>
            <w:r w:rsidRPr="005C23D6">
              <w:rPr>
                <w:color w:val="000000"/>
                <w:szCs w:val="22"/>
              </w:rPr>
              <w:noBreakHyphen/>
              <w:t>0,30 mg/kg živé hmotnosti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42DC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0,02</w:t>
            </w:r>
            <w:r w:rsidRPr="005C23D6">
              <w:rPr>
                <w:b/>
                <w:bCs/>
                <w:color w:val="000000"/>
                <w:szCs w:val="22"/>
              </w:rPr>
              <w:noBreakHyphen/>
              <w:t>0,03 ml/kg živé hmotnosti</w:t>
            </w:r>
          </w:p>
        </w:tc>
      </w:tr>
      <w:tr w:rsidR="00466378" w:rsidRPr="005C23D6" w14:paraId="38C0F00E" w14:textId="77777777" w:rsidTr="00DF4518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E267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3FF7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b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I.v</w:t>
            </w:r>
            <w:proofErr w:type="spellEnd"/>
            <w:r w:rsidRPr="005C23D6">
              <w:rPr>
                <w:color w:val="000000"/>
                <w:szCs w:val="22"/>
              </w:rPr>
              <w:t>. podání by mělo být pomalé.</w:t>
            </w:r>
            <w:r w:rsidRPr="005C23D6">
              <w:rPr>
                <w:b/>
                <w:bCs/>
                <w:szCs w:val="22"/>
              </w:rPr>
              <w:t xml:space="preserve"> </w:t>
            </w:r>
          </w:p>
          <w:p w14:paraId="0CC9C991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Analgetické účinky se projevují do 15 minut od injekčního podání.</w:t>
            </w:r>
          </w:p>
          <w:p w14:paraId="34466EA8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Podávejte 15 minut před ukončením anestezie, abyste zajistili analgezii ve fázi probouzení. </w:t>
            </w:r>
          </w:p>
          <w:p w14:paraId="0D0FF89A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b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Pro trvalou analgezii opakujte dávku podle potřeby.</w:t>
            </w:r>
          </w:p>
        </w:tc>
      </w:tr>
    </w:tbl>
    <w:p w14:paraId="5CC62732" w14:textId="77777777" w:rsidR="00466378" w:rsidRPr="005C23D6" w:rsidRDefault="00466378" w:rsidP="00466378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5C23D6">
        <w:rPr>
          <w:szCs w:val="22"/>
        </w:rPr>
        <w:tab/>
      </w:r>
    </w:p>
    <w:p w14:paraId="38DA8866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14:paraId="32AF85BA" w14:textId="77777777" w:rsidR="00466378" w:rsidRPr="005C23D6" w:rsidRDefault="00466378" w:rsidP="00F23F90">
      <w:pPr>
        <w:keepNext/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lastRenderedPageBreak/>
        <w:t xml:space="preserve">Pro </w:t>
      </w:r>
      <w:proofErr w:type="spellStart"/>
      <w:r w:rsidRPr="005C23D6">
        <w:rPr>
          <w:i/>
          <w:iCs/>
          <w:szCs w:val="22"/>
        </w:rPr>
        <w:t>sedaci</w:t>
      </w:r>
      <w:proofErr w:type="spellEnd"/>
      <w:r w:rsidRPr="005C23D6">
        <w:rPr>
          <w:i/>
          <w:iCs/>
          <w:szCs w:val="22"/>
        </w:rPr>
        <w:t xml:space="preserve"> v kombinaci s </w:t>
      </w:r>
      <w:proofErr w:type="spellStart"/>
      <w:r w:rsidRPr="005C23D6">
        <w:rPr>
          <w:i/>
          <w:iCs/>
          <w:szCs w:val="22"/>
        </w:rPr>
        <w:t>medetomidin</w:t>
      </w:r>
      <w:proofErr w:type="spellEnd"/>
      <w:r w:rsidRPr="005C23D6">
        <w:rPr>
          <w:i/>
          <w:iCs/>
          <w:szCs w:val="22"/>
        </w:rPr>
        <w:t xml:space="preserve"> </w:t>
      </w:r>
      <w:proofErr w:type="spellStart"/>
      <w:r w:rsidRPr="005C23D6">
        <w:rPr>
          <w:i/>
          <w:iCs/>
          <w:szCs w:val="22"/>
        </w:rPr>
        <w:t>hydrochloridem</w:t>
      </w:r>
      <w:proofErr w:type="spellEnd"/>
      <w:r w:rsidRPr="005C23D6">
        <w:rPr>
          <w:i/>
          <w:iCs/>
          <w:szCs w:val="22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2126"/>
        <w:gridCol w:w="3686"/>
      </w:tblGrid>
      <w:tr w:rsidR="00466378" w:rsidRPr="005C23D6" w14:paraId="3832DDF4" w14:textId="77777777" w:rsidTr="00DF451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EDCA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42139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Dávka </w:t>
            </w:r>
            <w:proofErr w:type="spellStart"/>
            <w:r w:rsidRPr="005C23D6">
              <w:rPr>
                <w:color w:val="000000"/>
                <w:szCs w:val="22"/>
              </w:rPr>
              <w:t>butorfanolu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4B3C15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4CCA32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3CF5AE77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medetomidin</w:t>
            </w:r>
            <w:proofErr w:type="spellEnd"/>
            <w:r w:rsidRPr="005C23D6">
              <w:rPr>
                <w:color w:val="000000"/>
                <w:szCs w:val="22"/>
              </w:rPr>
              <w:t xml:space="preserve"> </w:t>
            </w:r>
            <w:proofErr w:type="spellStart"/>
            <w:r w:rsidRPr="005C23D6">
              <w:rPr>
                <w:color w:val="000000"/>
                <w:szCs w:val="22"/>
              </w:rPr>
              <w:t>hydrochloridu</w:t>
            </w:r>
            <w:proofErr w:type="spellEnd"/>
          </w:p>
        </w:tc>
      </w:tr>
      <w:tr w:rsidR="00466378" w:rsidRPr="005C23D6" w14:paraId="2AFC6A8F" w14:textId="77777777" w:rsidTr="00DF45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A180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6664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ind w:right="-108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01B1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A456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ind w:right="-160"/>
              <w:jc w:val="center"/>
              <w:rPr>
                <w:bCs/>
                <w:color w:val="000000"/>
                <w:szCs w:val="22"/>
              </w:rPr>
            </w:pPr>
          </w:p>
        </w:tc>
      </w:tr>
      <w:tr w:rsidR="00466378" w:rsidRPr="005C23D6" w14:paraId="33D317AF" w14:textId="77777777" w:rsidTr="00DF45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B855" w14:textId="77777777" w:rsidR="00466378" w:rsidRPr="005C23D6" w:rsidRDefault="00466378" w:rsidP="00466378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i.m</w:t>
            </w:r>
            <w:proofErr w:type="spellEnd"/>
            <w:r w:rsidRPr="005C23D6">
              <w:rPr>
                <w:color w:val="000000"/>
                <w:szCs w:val="22"/>
              </w:rPr>
              <w:t>. nebo</w:t>
            </w:r>
          </w:p>
          <w:p w14:paraId="3AFC5A30" w14:textId="77777777" w:rsidR="00466378" w:rsidRPr="005C23D6" w:rsidRDefault="00466378" w:rsidP="00466378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i.v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BDF3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0,1 mg/kg živé hmotnosti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FD4D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0,01 ml/kg živé hmotnosti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4DB7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0,01*</w:t>
            </w:r>
            <w:r w:rsidRPr="005C23D6">
              <w:rPr>
                <w:color w:val="000000"/>
                <w:szCs w:val="22"/>
              </w:rPr>
              <w:noBreakHyphen/>
              <w:t>0,025**mg/kg živé hmotnosti</w:t>
            </w:r>
          </w:p>
        </w:tc>
      </w:tr>
      <w:tr w:rsidR="00466378" w:rsidRPr="005C23D6" w14:paraId="7F27F484" w14:textId="77777777" w:rsidTr="00DF45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62E0" w14:textId="77777777" w:rsidR="00466378" w:rsidRPr="005C23D6" w:rsidRDefault="00466378" w:rsidP="00466378">
            <w:pPr>
              <w:keepNext/>
              <w:keepLines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FE18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Než zahájíte zákrok, vyčkejte 20 minut, až se dostaví hluboká </w:t>
            </w:r>
            <w:proofErr w:type="spellStart"/>
            <w:r w:rsidRPr="005C23D6">
              <w:rPr>
                <w:color w:val="000000"/>
                <w:szCs w:val="22"/>
              </w:rPr>
              <w:t>sedace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  <w:p w14:paraId="1AA9CCF1" w14:textId="6363D8B9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Jestliže je akceptována kompatibilita, lze kombinovat přípravky obsahující </w:t>
            </w:r>
            <w:proofErr w:type="spellStart"/>
            <w:r w:rsidRPr="005C23D6">
              <w:rPr>
                <w:color w:val="000000"/>
                <w:szCs w:val="22"/>
              </w:rPr>
              <w:t>medetomidin</w:t>
            </w:r>
            <w:proofErr w:type="spellEnd"/>
            <w:r w:rsidRPr="005C23D6">
              <w:rPr>
                <w:color w:val="000000"/>
                <w:szCs w:val="22"/>
              </w:rPr>
              <w:t xml:space="preserve"> a </w:t>
            </w:r>
            <w:proofErr w:type="spellStart"/>
            <w:r w:rsidRPr="005C23D6">
              <w:rPr>
                <w:color w:val="000000"/>
                <w:szCs w:val="22"/>
              </w:rPr>
              <w:t>butorfanol</w:t>
            </w:r>
            <w:proofErr w:type="spellEnd"/>
            <w:r w:rsidRPr="005C23D6">
              <w:rPr>
                <w:color w:val="000000"/>
                <w:szCs w:val="22"/>
              </w:rPr>
              <w:t xml:space="preserve"> a podávat je ve stejné stříkačce (viz bod </w:t>
            </w:r>
            <w:r w:rsidR="00E6057D">
              <w:rPr>
                <w:color w:val="000000"/>
                <w:szCs w:val="22"/>
              </w:rPr>
              <w:t>Zvláštní upozornění – Hlavní inkompatibility</w:t>
            </w:r>
            <w:r w:rsidRPr="005C23D6">
              <w:rPr>
                <w:color w:val="000000"/>
                <w:szCs w:val="22"/>
              </w:rPr>
              <w:t>).</w:t>
            </w:r>
          </w:p>
        </w:tc>
      </w:tr>
    </w:tbl>
    <w:p w14:paraId="3ADC6A48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* V závislosti na požadovaném stupni </w:t>
      </w:r>
      <w:proofErr w:type="spellStart"/>
      <w:r w:rsidRPr="005C23D6">
        <w:rPr>
          <w:szCs w:val="22"/>
        </w:rPr>
        <w:t>sedace</w:t>
      </w:r>
      <w:proofErr w:type="spellEnd"/>
      <w:r w:rsidRPr="005C23D6">
        <w:rPr>
          <w:b/>
          <w:bCs/>
          <w:szCs w:val="22"/>
        </w:rPr>
        <w:t xml:space="preserve">: </w:t>
      </w:r>
      <w:r w:rsidRPr="005C23D6">
        <w:rPr>
          <w:szCs w:val="22"/>
        </w:rPr>
        <w:t xml:space="preserve">0,01 mg/kg: Pro </w:t>
      </w:r>
      <w:proofErr w:type="spellStart"/>
      <w:r w:rsidRPr="005C23D6">
        <w:rPr>
          <w:szCs w:val="22"/>
        </w:rPr>
        <w:t>sedaci</w:t>
      </w:r>
      <w:proofErr w:type="spellEnd"/>
      <w:r w:rsidRPr="005C23D6">
        <w:rPr>
          <w:szCs w:val="22"/>
        </w:rPr>
        <w:t xml:space="preserve"> a jako premedikace barbiturátové anestezie</w:t>
      </w:r>
    </w:p>
    <w:p w14:paraId="34E62F96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** V závislosti na požadovaném stupni </w:t>
      </w:r>
      <w:proofErr w:type="spellStart"/>
      <w:r w:rsidRPr="005C23D6">
        <w:rPr>
          <w:szCs w:val="22"/>
        </w:rPr>
        <w:t>sedace</w:t>
      </w:r>
      <w:proofErr w:type="spellEnd"/>
      <w:r w:rsidRPr="005C23D6">
        <w:rPr>
          <w:b/>
          <w:bCs/>
          <w:szCs w:val="22"/>
        </w:rPr>
        <w:t xml:space="preserve"> </w:t>
      </w:r>
      <w:r w:rsidRPr="005C23D6">
        <w:rPr>
          <w:szCs w:val="22"/>
        </w:rPr>
        <w:t xml:space="preserve">0,025 mg/kg: Pro hlubokou </w:t>
      </w:r>
      <w:proofErr w:type="spellStart"/>
      <w:r w:rsidRPr="005C23D6">
        <w:rPr>
          <w:szCs w:val="22"/>
        </w:rPr>
        <w:t>sedaci</w:t>
      </w:r>
      <w:proofErr w:type="spellEnd"/>
      <w:r w:rsidRPr="005C23D6">
        <w:rPr>
          <w:szCs w:val="22"/>
        </w:rPr>
        <w:t xml:space="preserve"> a jako premedikace </w:t>
      </w:r>
      <w:proofErr w:type="spellStart"/>
      <w:r w:rsidRPr="005C23D6">
        <w:rPr>
          <w:szCs w:val="22"/>
        </w:rPr>
        <w:t>ketaminové</w:t>
      </w:r>
      <w:proofErr w:type="spellEnd"/>
      <w:r w:rsidRPr="005C23D6">
        <w:rPr>
          <w:szCs w:val="22"/>
        </w:rPr>
        <w:t xml:space="preserve"> anestezie</w:t>
      </w:r>
    </w:p>
    <w:p w14:paraId="7DBC68C0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0B9718" w14:textId="77777777" w:rsidR="00466378" w:rsidRPr="005C23D6" w:rsidRDefault="00466378" w:rsidP="00466378">
      <w:pPr>
        <w:keepNext/>
        <w:tabs>
          <w:tab w:val="clear" w:pos="567"/>
        </w:tabs>
        <w:spacing w:line="240" w:lineRule="auto"/>
        <w:ind w:left="567" w:hanging="567"/>
        <w:jc w:val="both"/>
        <w:rPr>
          <w:i/>
          <w:szCs w:val="22"/>
        </w:rPr>
      </w:pPr>
      <w:r w:rsidRPr="005C23D6">
        <w:rPr>
          <w:i/>
          <w:iCs/>
          <w:szCs w:val="22"/>
        </w:rPr>
        <w:t>Pro použití jako premedikace / před anestezií:</w:t>
      </w:r>
    </w:p>
    <w:p w14:paraId="61517BFB" w14:textId="735DB908" w:rsidR="00466378" w:rsidRPr="005C23D6" w:rsidRDefault="00466378" w:rsidP="00466378">
      <w:pPr>
        <w:keepNext/>
        <w:tabs>
          <w:tab w:val="clear" w:pos="567"/>
          <w:tab w:val="left" w:pos="993"/>
          <w:tab w:val="left" w:pos="6237"/>
        </w:tabs>
        <w:spacing w:line="240" w:lineRule="auto"/>
        <w:jc w:val="both"/>
        <w:rPr>
          <w:color w:val="000000"/>
          <w:szCs w:val="22"/>
        </w:rPr>
      </w:pPr>
      <w:r w:rsidRPr="005C23D6">
        <w:rPr>
          <w:color w:val="000000"/>
          <w:szCs w:val="22"/>
        </w:rPr>
        <w:t>- P</w:t>
      </w:r>
      <w:r w:rsidRPr="00C97A66">
        <w:rPr>
          <w:color w:val="000000"/>
          <w:szCs w:val="22"/>
        </w:rPr>
        <w:t xml:space="preserve">ři použití </w:t>
      </w:r>
      <w:r w:rsidR="00E6057D" w:rsidRPr="00C97A66">
        <w:rPr>
          <w:color w:val="000000"/>
          <w:szCs w:val="22"/>
        </w:rPr>
        <w:t xml:space="preserve">veterinárního léčivého </w:t>
      </w:r>
      <w:r w:rsidRPr="00C97A66">
        <w:rPr>
          <w:color w:val="000000"/>
          <w:szCs w:val="22"/>
        </w:rPr>
        <w:t>přípravku jako jediného prostředku</w:t>
      </w:r>
      <w:r w:rsidRPr="005C23D6">
        <w:rPr>
          <w:color w:val="000000"/>
          <w:szCs w:val="22"/>
        </w:rPr>
        <w:t>:</w:t>
      </w:r>
    </w:p>
    <w:p w14:paraId="0E0E43FF" w14:textId="77777777" w:rsidR="00466378" w:rsidRPr="005C23D6" w:rsidRDefault="00466378" w:rsidP="00466378">
      <w:pPr>
        <w:keepNext/>
        <w:tabs>
          <w:tab w:val="clear" w:pos="567"/>
          <w:tab w:val="left" w:pos="993"/>
          <w:tab w:val="left" w:pos="6237"/>
        </w:tabs>
        <w:spacing w:line="240" w:lineRule="auto"/>
        <w:jc w:val="both"/>
        <w:rPr>
          <w:bCs/>
          <w:color w:val="000000"/>
          <w:szCs w:val="22"/>
        </w:rPr>
      </w:pPr>
      <w:r w:rsidRPr="005C23D6">
        <w:rPr>
          <w:color w:val="000000"/>
          <w:szCs w:val="22"/>
        </w:rPr>
        <w:t xml:space="preserve"> </w:t>
      </w: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3183"/>
        <w:gridCol w:w="4425"/>
      </w:tblGrid>
      <w:tr w:rsidR="00466378" w:rsidRPr="005C23D6" w14:paraId="7A3E4731" w14:textId="77777777" w:rsidTr="00DF4518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21F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49DA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Dávka </w:t>
            </w:r>
            <w:proofErr w:type="spellStart"/>
            <w:r w:rsidRPr="005C23D6">
              <w:rPr>
                <w:color w:val="000000"/>
                <w:szCs w:val="22"/>
              </w:rPr>
              <w:t>butorfanolu</w:t>
            </w:r>
            <w:proofErr w:type="spellEnd"/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FAD2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</w:tr>
      <w:tr w:rsidR="00466378" w:rsidRPr="005C23D6" w14:paraId="7B5AC207" w14:textId="77777777" w:rsidTr="00DF4518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1B36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i.v</w:t>
            </w:r>
            <w:proofErr w:type="spellEnd"/>
            <w:r w:rsidRPr="005C23D6">
              <w:rPr>
                <w:color w:val="000000"/>
                <w:szCs w:val="22"/>
              </w:rPr>
              <w:t xml:space="preserve">., </w:t>
            </w:r>
            <w:proofErr w:type="spellStart"/>
            <w:r w:rsidRPr="005C23D6">
              <w:rPr>
                <w:color w:val="000000"/>
                <w:szCs w:val="22"/>
              </w:rPr>
              <w:t>i.m</w:t>
            </w:r>
            <w:proofErr w:type="spellEnd"/>
            <w:r w:rsidRPr="005C23D6">
              <w:rPr>
                <w:color w:val="000000"/>
                <w:szCs w:val="22"/>
              </w:rPr>
              <w:t xml:space="preserve">., nebo </w:t>
            </w:r>
            <w:proofErr w:type="spellStart"/>
            <w:r w:rsidRPr="005C23D6">
              <w:rPr>
                <w:color w:val="000000"/>
                <w:szCs w:val="22"/>
              </w:rPr>
              <w:t>s.c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BC8F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0,1</w:t>
            </w:r>
            <w:r w:rsidRPr="005C23D6">
              <w:rPr>
                <w:color w:val="000000"/>
                <w:szCs w:val="22"/>
              </w:rPr>
              <w:noBreakHyphen/>
              <w:t>0,20 mg/kg živé hmotnosti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A0E7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  <w:p w14:paraId="29D5876D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0,01</w:t>
            </w:r>
            <w:r w:rsidRPr="005C23D6">
              <w:rPr>
                <w:b/>
                <w:bCs/>
                <w:color w:val="000000"/>
                <w:szCs w:val="22"/>
              </w:rPr>
              <w:noBreakHyphen/>
              <w:t>0,02 ml/kg živé hmotnosti</w:t>
            </w:r>
          </w:p>
          <w:p w14:paraId="7FB91B56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</w:tr>
      <w:tr w:rsidR="00466378" w:rsidRPr="005C23D6" w14:paraId="229C3BC4" w14:textId="77777777" w:rsidTr="00DF4518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7642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BB96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both"/>
              <w:rPr>
                <w:b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15 minut před indukcí</w:t>
            </w:r>
          </w:p>
        </w:tc>
      </w:tr>
    </w:tbl>
    <w:p w14:paraId="5EAD929C" w14:textId="77777777" w:rsidR="00466378" w:rsidRPr="005C23D6" w:rsidRDefault="00466378" w:rsidP="00466378">
      <w:pPr>
        <w:tabs>
          <w:tab w:val="clear" w:pos="567"/>
          <w:tab w:val="left" w:pos="993"/>
          <w:tab w:val="left" w:pos="6237"/>
        </w:tabs>
        <w:spacing w:line="240" w:lineRule="auto"/>
        <w:jc w:val="both"/>
        <w:rPr>
          <w:bCs/>
          <w:color w:val="000000"/>
          <w:szCs w:val="22"/>
        </w:rPr>
      </w:pPr>
    </w:p>
    <w:p w14:paraId="43DE64A8" w14:textId="1BACDC82" w:rsidR="00466378" w:rsidRPr="005C23D6" w:rsidRDefault="00466378" w:rsidP="00466378">
      <w:pPr>
        <w:tabs>
          <w:tab w:val="clear" w:pos="567"/>
          <w:tab w:val="left" w:pos="993"/>
          <w:tab w:val="left" w:pos="3544"/>
          <w:tab w:val="left" w:pos="6237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C97A66">
        <w:rPr>
          <w:color w:val="000000"/>
          <w:szCs w:val="22"/>
        </w:rPr>
        <w:t xml:space="preserve">- Při použití </w:t>
      </w:r>
      <w:r w:rsidR="00E6057D" w:rsidRPr="00C97A66">
        <w:rPr>
          <w:color w:val="000000"/>
          <w:szCs w:val="22"/>
        </w:rPr>
        <w:t xml:space="preserve">veterinárního léčivého </w:t>
      </w:r>
      <w:r w:rsidRPr="00C97A66">
        <w:rPr>
          <w:color w:val="000000"/>
          <w:szCs w:val="22"/>
        </w:rPr>
        <w:t xml:space="preserve">přípravku společně s 0,02 mg/kg </w:t>
      </w:r>
      <w:proofErr w:type="spellStart"/>
      <w:r w:rsidRPr="00C97A66">
        <w:rPr>
          <w:color w:val="000000"/>
          <w:szCs w:val="22"/>
        </w:rPr>
        <w:t>acepromazinu</w:t>
      </w:r>
      <w:proofErr w:type="spellEnd"/>
      <w:r w:rsidRPr="005C23D6">
        <w:rPr>
          <w:color w:val="000000"/>
          <w:szCs w:val="22"/>
        </w:rPr>
        <w:t>:</w:t>
      </w:r>
    </w:p>
    <w:p w14:paraId="45C84FC8" w14:textId="77777777" w:rsidR="00466378" w:rsidRPr="005C23D6" w:rsidRDefault="00466378" w:rsidP="00466378">
      <w:pPr>
        <w:tabs>
          <w:tab w:val="clear" w:pos="567"/>
          <w:tab w:val="left" w:pos="993"/>
          <w:tab w:val="left" w:pos="3544"/>
          <w:tab w:val="left" w:pos="6237"/>
        </w:tabs>
        <w:spacing w:line="240" w:lineRule="auto"/>
        <w:ind w:left="567" w:hanging="567"/>
        <w:jc w:val="both"/>
        <w:rPr>
          <w:color w:val="000000"/>
          <w:szCs w:val="22"/>
        </w:rPr>
      </w:pP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3211"/>
        <w:gridCol w:w="4408"/>
      </w:tblGrid>
      <w:tr w:rsidR="00466378" w:rsidRPr="005C23D6" w14:paraId="13D9B526" w14:textId="77777777" w:rsidTr="00DF4518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81D3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5125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Dávka </w:t>
            </w:r>
            <w:proofErr w:type="spellStart"/>
            <w:r w:rsidRPr="005C23D6">
              <w:rPr>
                <w:color w:val="000000"/>
                <w:szCs w:val="22"/>
              </w:rPr>
              <w:t>butorfanolu</w:t>
            </w:r>
            <w:proofErr w:type="spellEnd"/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DBF3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</w:tr>
      <w:tr w:rsidR="00466378" w:rsidRPr="005C23D6" w14:paraId="47768FA0" w14:textId="77777777" w:rsidTr="00DF4518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2B4E" w14:textId="77777777" w:rsidR="00466378" w:rsidRPr="005C23D6" w:rsidRDefault="00466378" w:rsidP="00466378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i.v</w:t>
            </w:r>
            <w:proofErr w:type="spellEnd"/>
            <w:r w:rsidRPr="005C23D6">
              <w:rPr>
                <w:color w:val="000000"/>
                <w:szCs w:val="22"/>
              </w:rPr>
              <w:t>. nebo</w:t>
            </w:r>
          </w:p>
          <w:p w14:paraId="0815012B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i.m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7A15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608A3897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0,10 mg/kg živé hmotnosti*</w:t>
            </w:r>
          </w:p>
          <w:p w14:paraId="31A9E534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C864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0,01 ml/kg živé hmotnosti*</w:t>
            </w:r>
          </w:p>
        </w:tc>
      </w:tr>
      <w:tr w:rsidR="00466378" w:rsidRPr="005C23D6" w14:paraId="1018A1C8" w14:textId="77777777" w:rsidTr="00DF4518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CB29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BC29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Vyčkejte nejméně 20 minut, než se dostaví účinek, avšak doba mezi premedikací a indukcí je flexibilní od 20 do 120 minut.</w:t>
            </w:r>
          </w:p>
          <w:p w14:paraId="4FF549AF" w14:textId="388DE982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both"/>
              <w:rPr>
                <w:b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Jestliže je akceptována kompatibilita, lze kombinovat přípravky obsahující </w:t>
            </w:r>
            <w:proofErr w:type="spellStart"/>
            <w:r w:rsidRPr="005C23D6">
              <w:rPr>
                <w:color w:val="000000"/>
                <w:szCs w:val="22"/>
              </w:rPr>
              <w:t>butorfanol</w:t>
            </w:r>
            <w:proofErr w:type="spellEnd"/>
            <w:r w:rsidRPr="005C23D6">
              <w:rPr>
                <w:color w:val="000000"/>
                <w:szCs w:val="22"/>
              </w:rPr>
              <w:t xml:space="preserve"> a </w:t>
            </w:r>
            <w:proofErr w:type="spellStart"/>
            <w:r w:rsidRPr="005C23D6">
              <w:rPr>
                <w:color w:val="000000"/>
                <w:szCs w:val="22"/>
              </w:rPr>
              <w:t>acepromazin</w:t>
            </w:r>
            <w:proofErr w:type="spellEnd"/>
            <w:r w:rsidRPr="005C23D6">
              <w:rPr>
                <w:color w:val="000000"/>
                <w:szCs w:val="22"/>
              </w:rPr>
              <w:t xml:space="preserve"> a podávat je ve stejné stříkačce (viz bod </w:t>
            </w:r>
            <w:r w:rsidR="00E6057D">
              <w:rPr>
                <w:color w:val="000000"/>
                <w:szCs w:val="22"/>
              </w:rPr>
              <w:t xml:space="preserve">Zvláštní upozornění – Hlavní </w:t>
            </w:r>
            <w:r w:rsidRPr="005C23D6">
              <w:rPr>
                <w:color w:val="000000"/>
                <w:szCs w:val="22"/>
              </w:rPr>
              <w:t>inkompatibility).</w:t>
            </w:r>
          </w:p>
        </w:tc>
      </w:tr>
    </w:tbl>
    <w:p w14:paraId="1C033C04" w14:textId="77777777" w:rsidR="00466378" w:rsidRPr="005C23D6" w:rsidRDefault="00466378" w:rsidP="00466378">
      <w:pPr>
        <w:tabs>
          <w:tab w:val="clear" w:pos="567"/>
          <w:tab w:val="left" w:pos="993"/>
          <w:tab w:val="left" w:pos="3544"/>
          <w:tab w:val="left" w:pos="6237"/>
        </w:tabs>
        <w:spacing w:line="240" w:lineRule="auto"/>
        <w:jc w:val="both"/>
        <w:rPr>
          <w:bCs/>
          <w:color w:val="000000"/>
          <w:szCs w:val="22"/>
        </w:rPr>
      </w:pPr>
      <w:r w:rsidRPr="005C23D6">
        <w:rPr>
          <w:color w:val="000000"/>
          <w:szCs w:val="22"/>
        </w:rPr>
        <w:t xml:space="preserve"> </w:t>
      </w:r>
    </w:p>
    <w:p w14:paraId="43222E6F" w14:textId="77777777" w:rsidR="00466378" w:rsidRPr="005C23D6" w:rsidRDefault="00466378" w:rsidP="00466378">
      <w:pPr>
        <w:tabs>
          <w:tab w:val="clear" w:pos="567"/>
          <w:tab w:val="left" w:pos="284"/>
          <w:tab w:val="left" w:pos="3544"/>
          <w:tab w:val="left" w:pos="6237"/>
        </w:tabs>
        <w:spacing w:line="240" w:lineRule="auto"/>
        <w:ind w:left="284" w:hanging="284"/>
        <w:jc w:val="both"/>
        <w:rPr>
          <w:bCs/>
          <w:color w:val="000000"/>
          <w:szCs w:val="22"/>
        </w:rPr>
      </w:pPr>
      <w:r w:rsidRPr="005C23D6">
        <w:rPr>
          <w:color w:val="000000"/>
          <w:szCs w:val="22"/>
        </w:rPr>
        <w:t>*</w:t>
      </w:r>
      <w:r w:rsidRPr="005C23D6">
        <w:rPr>
          <w:color w:val="000000"/>
          <w:szCs w:val="22"/>
        </w:rPr>
        <w:tab/>
        <w:t>Dávka může být zvýšena na 0,2 mg/kg (odpovídá 0,02 ml/kg), pokud zvíře cítí bolest již před zahájením výkonu, nebo pokud je během chirurgického zákroku vyšší úroveň analgezie.</w:t>
      </w:r>
    </w:p>
    <w:p w14:paraId="115C2F05" w14:textId="77777777" w:rsidR="00466378" w:rsidRPr="005C23D6" w:rsidRDefault="00466378" w:rsidP="00466378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</w:rPr>
      </w:pPr>
    </w:p>
    <w:p w14:paraId="18848C5D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 xml:space="preserve">Pro anestezii v kombinaci s </w:t>
      </w:r>
      <w:proofErr w:type="spellStart"/>
      <w:r w:rsidRPr="005C23D6">
        <w:rPr>
          <w:i/>
          <w:iCs/>
          <w:szCs w:val="22"/>
        </w:rPr>
        <w:t>medetomidinem</w:t>
      </w:r>
      <w:proofErr w:type="spellEnd"/>
      <w:r w:rsidRPr="005C23D6">
        <w:rPr>
          <w:i/>
          <w:iCs/>
          <w:szCs w:val="22"/>
        </w:rPr>
        <w:t xml:space="preserve"> a </w:t>
      </w:r>
      <w:proofErr w:type="spellStart"/>
      <w:r w:rsidRPr="005C23D6">
        <w:rPr>
          <w:i/>
          <w:iCs/>
          <w:szCs w:val="22"/>
        </w:rPr>
        <w:t>ketaminem</w:t>
      </w:r>
      <w:proofErr w:type="spellEnd"/>
      <w:r w:rsidRPr="005C23D6">
        <w:rPr>
          <w:i/>
          <w:iCs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843"/>
        <w:gridCol w:w="1842"/>
        <w:gridCol w:w="2268"/>
      </w:tblGrid>
      <w:tr w:rsidR="00466378" w:rsidRPr="005C23D6" w14:paraId="2E025D89" w14:textId="77777777" w:rsidTr="00DF451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9272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ind w:left="-6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3DDE7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Dávka </w:t>
            </w:r>
            <w:proofErr w:type="spellStart"/>
            <w:r w:rsidRPr="005C23D6">
              <w:rPr>
                <w:color w:val="000000"/>
                <w:szCs w:val="22"/>
              </w:rPr>
              <w:t>butorfanolu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A4D37E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243E5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Dávka </w:t>
            </w:r>
            <w:proofErr w:type="spellStart"/>
            <w:r w:rsidRPr="005C23D6">
              <w:rPr>
                <w:color w:val="000000"/>
                <w:szCs w:val="22"/>
              </w:rPr>
              <w:t>medetomidinu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67BC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26AF4BF9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ketaminu</w:t>
            </w:r>
            <w:proofErr w:type="spellEnd"/>
          </w:p>
        </w:tc>
      </w:tr>
      <w:tr w:rsidR="00466378" w:rsidRPr="005C23D6" w14:paraId="6864F828" w14:textId="77777777" w:rsidTr="00DF45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0E96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64B7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7A3F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C4D1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3834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</w:tr>
      <w:tr w:rsidR="00466378" w:rsidRPr="005C23D6" w14:paraId="7EABBC5C" w14:textId="77777777" w:rsidTr="00DF45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0B80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4B72CF5E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i.m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  <w:p w14:paraId="0E8A26E3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8EDB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0,10 mg/kg živé hmotnosti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50D6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0,01 ml/kg živé hmotnosti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DD15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0,025 mg/kg živé hmotnosti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6971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5,0 mg/kg živé hmotnosti*</w:t>
            </w:r>
          </w:p>
        </w:tc>
      </w:tr>
      <w:tr w:rsidR="00466378" w:rsidRPr="005C23D6" w14:paraId="670D2784" w14:textId="77777777" w:rsidTr="00DF45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0AFD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5629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both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 xml:space="preserve">Reverze s </w:t>
            </w:r>
            <w:proofErr w:type="spellStart"/>
            <w:r w:rsidRPr="005C23D6">
              <w:rPr>
                <w:b/>
                <w:bCs/>
                <w:color w:val="000000"/>
                <w:szCs w:val="22"/>
              </w:rPr>
              <w:t>atipamezolem</w:t>
            </w:r>
            <w:proofErr w:type="spellEnd"/>
            <w:r w:rsidRPr="005C23D6">
              <w:rPr>
                <w:b/>
                <w:bCs/>
                <w:color w:val="000000"/>
                <w:szCs w:val="22"/>
              </w:rPr>
              <w:t xml:space="preserve"> není doporučena.</w:t>
            </w:r>
          </w:p>
          <w:p w14:paraId="63B66352" w14:textId="23C2024E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Jestliže je akceptována kompatibilita, lze kombinovat přípravky obsahující </w:t>
            </w:r>
            <w:proofErr w:type="spellStart"/>
            <w:r w:rsidRPr="005C23D6">
              <w:rPr>
                <w:szCs w:val="22"/>
              </w:rPr>
              <w:t>medetomidin</w:t>
            </w:r>
            <w:proofErr w:type="spellEnd"/>
            <w:r w:rsidRPr="005C23D6">
              <w:rPr>
                <w:szCs w:val="22"/>
              </w:rPr>
              <w:t xml:space="preserve"> a </w:t>
            </w:r>
            <w:proofErr w:type="spellStart"/>
            <w:r w:rsidRPr="005C23D6">
              <w:rPr>
                <w:szCs w:val="22"/>
              </w:rPr>
              <w:t>butorfanol</w:t>
            </w:r>
            <w:proofErr w:type="spellEnd"/>
            <w:r w:rsidRPr="005C23D6">
              <w:rPr>
                <w:szCs w:val="22"/>
              </w:rPr>
              <w:t xml:space="preserve"> a podávat je ve stejné stříkačce (viz bod </w:t>
            </w:r>
            <w:r w:rsidR="00E6057D">
              <w:rPr>
                <w:szCs w:val="22"/>
              </w:rPr>
              <w:t xml:space="preserve">Zvláštní upozornění – Hlavní </w:t>
            </w:r>
            <w:r w:rsidRPr="005C23D6">
              <w:rPr>
                <w:color w:val="000000"/>
                <w:szCs w:val="22"/>
              </w:rPr>
              <w:t>inkompatibility</w:t>
            </w:r>
            <w:r w:rsidRPr="005C23D6">
              <w:rPr>
                <w:szCs w:val="22"/>
              </w:rPr>
              <w:t>).</w:t>
            </w:r>
          </w:p>
        </w:tc>
      </w:tr>
    </w:tbl>
    <w:p w14:paraId="7EB1CDEA" w14:textId="77777777" w:rsidR="00466378" w:rsidRPr="005C23D6" w:rsidRDefault="00466378" w:rsidP="00466378">
      <w:pPr>
        <w:tabs>
          <w:tab w:val="clear" w:pos="567"/>
          <w:tab w:val="left" w:pos="720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* </w:t>
      </w:r>
      <w:proofErr w:type="spellStart"/>
      <w:r w:rsidRPr="005C23D6">
        <w:rPr>
          <w:szCs w:val="22"/>
        </w:rPr>
        <w:t>Ketamin</w:t>
      </w:r>
      <w:proofErr w:type="spellEnd"/>
      <w:r w:rsidRPr="005C23D6">
        <w:rPr>
          <w:szCs w:val="22"/>
        </w:rPr>
        <w:t xml:space="preserve"> je nutno podat 15 minut po </w:t>
      </w:r>
      <w:proofErr w:type="spellStart"/>
      <w:r w:rsidRPr="005C23D6">
        <w:rPr>
          <w:szCs w:val="22"/>
        </w:rPr>
        <w:t>i.m</w:t>
      </w:r>
      <w:proofErr w:type="spellEnd"/>
      <w:r w:rsidRPr="005C23D6">
        <w:rPr>
          <w:szCs w:val="22"/>
        </w:rPr>
        <w:t xml:space="preserve">. podání kombinace </w:t>
      </w:r>
      <w:proofErr w:type="spellStart"/>
      <w:r w:rsidRPr="005C23D6">
        <w:rPr>
          <w:szCs w:val="22"/>
        </w:rPr>
        <w:t>butorfanolu</w:t>
      </w:r>
      <w:proofErr w:type="spellEnd"/>
      <w:r w:rsidRPr="005C23D6">
        <w:rPr>
          <w:szCs w:val="22"/>
        </w:rPr>
        <w:t xml:space="preserve"> a </w:t>
      </w:r>
      <w:proofErr w:type="spellStart"/>
      <w:r w:rsidRPr="005C23D6">
        <w:rPr>
          <w:szCs w:val="22"/>
        </w:rPr>
        <w:t>medetomidinu</w:t>
      </w:r>
      <w:proofErr w:type="spellEnd"/>
      <w:r w:rsidRPr="005C23D6">
        <w:rPr>
          <w:szCs w:val="22"/>
        </w:rPr>
        <w:t xml:space="preserve">. </w:t>
      </w:r>
    </w:p>
    <w:p w14:paraId="0635777B" w14:textId="77777777" w:rsidR="00466378" w:rsidRPr="005C23D6" w:rsidRDefault="00466378" w:rsidP="00466378">
      <w:pPr>
        <w:tabs>
          <w:tab w:val="clear" w:pos="567"/>
          <w:tab w:val="left" w:pos="1815"/>
        </w:tabs>
        <w:spacing w:line="240" w:lineRule="auto"/>
        <w:jc w:val="both"/>
        <w:rPr>
          <w:b/>
          <w:szCs w:val="22"/>
        </w:rPr>
      </w:pPr>
    </w:p>
    <w:p w14:paraId="4C356BB2" w14:textId="45DE0356" w:rsidR="00466378" w:rsidRDefault="00466378" w:rsidP="00466378">
      <w:pPr>
        <w:keepNext/>
        <w:tabs>
          <w:tab w:val="clear" w:pos="567"/>
          <w:tab w:val="left" w:pos="1815"/>
        </w:tabs>
        <w:spacing w:line="240" w:lineRule="auto"/>
        <w:jc w:val="both"/>
        <w:rPr>
          <w:szCs w:val="22"/>
          <w:u w:val="single"/>
        </w:rPr>
      </w:pPr>
      <w:r w:rsidRPr="005C23D6">
        <w:rPr>
          <w:szCs w:val="22"/>
          <w:u w:val="single"/>
        </w:rPr>
        <w:lastRenderedPageBreak/>
        <w:t>Kočka</w:t>
      </w:r>
      <w:r w:rsidR="00E6057D" w:rsidRPr="00C97A66">
        <w:rPr>
          <w:szCs w:val="22"/>
        </w:rPr>
        <w:t>:</w:t>
      </w:r>
    </w:p>
    <w:p w14:paraId="404D29B8" w14:textId="77777777" w:rsidR="00A74FA3" w:rsidRPr="005C23D6" w:rsidRDefault="00A74FA3" w:rsidP="00466378">
      <w:pPr>
        <w:keepNext/>
        <w:tabs>
          <w:tab w:val="clear" w:pos="567"/>
          <w:tab w:val="left" w:pos="1815"/>
        </w:tabs>
        <w:spacing w:line="240" w:lineRule="auto"/>
        <w:jc w:val="both"/>
        <w:rPr>
          <w:szCs w:val="22"/>
          <w:u w:val="single"/>
        </w:rPr>
      </w:pPr>
    </w:p>
    <w:p w14:paraId="3871667A" w14:textId="77777777" w:rsidR="00466378" w:rsidRPr="005C23D6" w:rsidRDefault="00466378" w:rsidP="00466378">
      <w:pPr>
        <w:keepNext/>
        <w:tabs>
          <w:tab w:val="clear" w:pos="567"/>
          <w:tab w:val="left" w:pos="1815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>Pro předoperační analgezii: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3210"/>
        <w:gridCol w:w="4547"/>
      </w:tblGrid>
      <w:tr w:rsidR="00466378" w:rsidRPr="005C23D6" w14:paraId="200A2442" w14:textId="77777777" w:rsidTr="00DF4518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535DA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9FDCBD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Dávka </w:t>
            </w:r>
          </w:p>
          <w:p w14:paraId="67E411E7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butorfanolu</w:t>
            </w:r>
            <w:proofErr w:type="spellEnd"/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8FC38E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</w:t>
            </w:r>
          </w:p>
          <w:p w14:paraId="2D4DE2FF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přípravku</w:t>
            </w:r>
          </w:p>
        </w:tc>
      </w:tr>
      <w:tr w:rsidR="00466378" w:rsidRPr="005C23D6" w14:paraId="35D23EAC" w14:textId="77777777" w:rsidTr="00DF4518">
        <w:tc>
          <w:tcPr>
            <w:tcW w:w="59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1DC6BA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23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5DA3BD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578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5F5F28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466378" w:rsidRPr="005C23D6" w14:paraId="14CB16A9" w14:textId="77777777" w:rsidTr="00DF4518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2EB7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i.m</w:t>
            </w:r>
            <w:proofErr w:type="spellEnd"/>
            <w:r w:rsidRPr="005C23D6">
              <w:rPr>
                <w:color w:val="000000"/>
                <w:szCs w:val="22"/>
              </w:rPr>
              <w:t>. nebo</w:t>
            </w:r>
          </w:p>
          <w:p w14:paraId="70FC0156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s.c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3ECD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0,4 mg/kg živé hmotnosti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EA01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0,04 ml/kg živé hmotnosti</w:t>
            </w:r>
          </w:p>
        </w:tc>
      </w:tr>
      <w:tr w:rsidR="00466378" w:rsidRPr="005C23D6" w14:paraId="19F9B2E4" w14:textId="77777777" w:rsidTr="00DF4518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1342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97DA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Podávejte 15</w:t>
            </w:r>
            <w:r w:rsidRPr="005C23D6">
              <w:rPr>
                <w:color w:val="000000"/>
                <w:szCs w:val="22"/>
              </w:rPr>
              <w:noBreakHyphen/>
              <w:t xml:space="preserve">30 minut před </w:t>
            </w:r>
            <w:proofErr w:type="spellStart"/>
            <w:r w:rsidRPr="005C23D6">
              <w:rPr>
                <w:color w:val="000000"/>
                <w:szCs w:val="22"/>
              </w:rPr>
              <w:t>i.v</w:t>
            </w:r>
            <w:proofErr w:type="spellEnd"/>
            <w:r w:rsidRPr="005C23D6">
              <w:rPr>
                <w:color w:val="000000"/>
                <w:szCs w:val="22"/>
              </w:rPr>
              <w:t>. podáním indukčních anestetických přípravků.</w:t>
            </w:r>
          </w:p>
          <w:p w14:paraId="1D1A6DF9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b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Podávejte 5 minut před indukcí s </w:t>
            </w:r>
            <w:proofErr w:type="spellStart"/>
            <w:r w:rsidRPr="005C23D6">
              <w:rPr>
                <w:color w:val="000000"/>
                <w:szCs w:val="22"/>
              </w:rPr>
              <w:t>i.m</w:t>
            </w:r>
            <w:proofErr w:type="spellEnd"/>
            <w:r w:rsidRPr="005C23D6">
              <w:rPr>
                <w:color w:val="000000"/>
                <w:szCs w:val="22"/>
              </w:rPr>
              <w:t xml:space="preserve">.  indukčními anestetickými látkami, jako jsou kombinace </w:t>
            </w:r>
            <w:proofErr w:type="spellStart"/>
            <w:r w:rsidRPr="005C23D6">
              <w:rPr>
                <w:color w:val="000000"/>
                <w:szCs w:val="22"/>
              </w:rPr>
              <w:t>i.m</w:t>
            </w:r>
            <w:proofErr w:type="spellEnd"/>
            <w:r w:rsidRPr="005C23D6">
              <w:rPr>
                <w:color w:val="000000"/>
                <w:szCs w:val="22"/>
              </w:rPr>
              <w:t xml:space="preserve">.  </w:t>
            </w:r>
            <w:proofErr w:type="spellStart"/>
            <w:r w:rsidRPr="005C23D6">
              <w:rPr>
                <w:color w:val="000000"/>
                <w:szCs w:val="22"/>
              </w:rPr>
              <w:t>acepromazinu</w:t>
            </w:r>
            <w:proofErr w:type="spellEnd"/>
            <w:r w:rsidRPr="005C23D6">
              <w:rPr>
                <w:color w:val="000000"/>
                <w:szCs w:val="22"/>
              </w:rPr>
              <w:t xml:space="preserve"> a </w:t>
            </w:r>
            <w:proofErr w:type="spellStart"/>
            <w:r w:rsidRPr="005C23D6">
              <w:rPr>
                <w:color w:val="000000"/>
                <w:szCs w:val="22"/>
              </w:rPr>
              <w:t>ketaminu</w:t>
            </w:r>
            <w:proofErr w:type="spellEnd"/>
            <w:r w:rsidRPr="005C23D6">
              <w:rPr>
                <w:color w:val="000000"/>
                <w:szCs w:val="22"/>
              </w:rPr>
              <w:t xml:space="preserve"> nebo </w:t>
            </w:r>
            <w:proofErr w:type="spellStart"/>
            <w:r w:rsidRPr="005C23D6">
              <w:rPr>
                <w:color w:val="000000"/>
                <w:szCs w:val="22"/>
              </w:rPr>
              <w:t>xylazinu</w:t>
            </w:r>
            <w:proofErr w:type="spellEnd"/>
            <w:r w:rsidRPr="005C23D6">
              <w:rPr>
                <w:color w:val="000000"/>
                <w:szCs w:val="22"/>
              </w:rPr>
              <w:t xml:space="preserve"> a </w:t>
            </w:r>
            <w:proofErr w:type="spellStart"/>
            <w:r w:rsidRPr="005C23D6">
              <w:rPr>
                <w:color w:val="000000"/>
                <w:szCs w:val="22"/>
              </w:rPr>
              <w:t>ketaminu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</w:tc>
      </w:tr>
    </w:tbl>
    <w:p w14:paraId="1B50889B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7B95697D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>Pro pooperační analgezii: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3185"/>
        <w:gridCol w:w="4520"/>
      </w:tblGrid>
      <w:tr w:rsidR="00466378" w:rsidRPr="005C23D6" w14:paraId="497DD8BC" w14:textId="77777777" w:rsidTr="00DF4518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FCCFAE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B81602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6F3135B9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butorfanolu</w:t>
            </w:r>
            <w:proofErr w:type="spellEnd"/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E6E2BB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</w:t>
            </w:r>
          </w:p>
          <w:p w14:paraId="2D9508C2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přípravku</w:t>
            </w:r>
          </w:p>
        </w:tc>
      </w:tr>
      <w:tr w:rsidR="00466378" w:rsidRPr="005C23D6" w14:paraId="122CDE9A" w14:textId="77777777" w:rsidTr="00DF4518">
        <w:tc>
          <w:tcPr>
            <w:tcW w:w="648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F09177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97505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553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DB2526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466378" w:rsidRPr="005C23D6" w14:paraId="71B5C66B" w14:textId="77777777" w:rsidTr="00DF4518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6B79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4D7BDD45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s.c</w:t>
            </w:r>
            <w:proofErr w:type="spellEnd"/>
            <w:r w:rsidRPr="005C23D6">
              <w:rPr>
                <w:color w:val="000000"/>
                <w:szCs w:val="22"/>
              </w:rPr>
              <w:t xml:space="preserve">. nebo </w:t>
            </w:r>
            <w:proofErr w:type="spellStart"/>
            <w:r w:rsidRPr="005C23D6">
              <w:rPr>
                <w:color w:val="000000"/>
                <w:szCs w:val="22"/>
              </w:rPr>
              <w:t>i.m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7184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0,4 mg/kg živé hmotnosti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9971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  <w:p w14:paraId="6F823846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0,04 ml/kg živé hmotnosti</w:t>
            </w:r>
          </w:p>
        </w:tc>
      </w:tr>
      <w:tr w:rsidR="00466378" w:rsidRPr="005C23D6" w14:paraId="630BD0DC" w14:textId="77777777" w:rsidTr="00DF4518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F3C6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7859EB56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i.v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3E7A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0,1 mg/kg živé hmotnosti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8818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  <w:p w14:paraId="1BECB5EC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0,01 ml/kg živé hmotnosti</w:t>
            </w:r>
          </w:p>
        </w:tc>
      </w:tr>
      <w:tr w:rsidR="00466378" w:rsidRPr="005C23D6" w14:paraId="2FFDF14A" w14:textId="77777777" w:rsidTr="00DF4518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811E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4159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b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Podávejte 15 minut před probuzením</w:t>
            </w:r>
          </w:p>
        </w:tc>
      </w:tr>
    </w:tbl>
    <w:p w14:paraId="3C1E6466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14:paraId="74FE5F97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 xml:space="preserve">Pro </w:t>
      </w:r>
      <w:proofErr w:type="spellStart"/>
      <w:r w:rsidRPr="005C23D6">
        <w:rPr>
          <w:i/>
          <w:iCs/>
          <w:szCs w:val="22"/>
        </w:rPr>
        <w:t>sedaci</w:t>
      </w:r>
      <w:proofErr w:type="spellEnd"/>
      <w:r w:rsidRPr="005C23D6">
        <w:rPr>
          <w:i/>
          <w:iCs/>
          <w:szCs w:val="22"/>
        </w:rPr>
        <w:t xml:space="preserve"> v kombinaci s </w:t>
      </w:r>
      <w:proofErr w:type="spellStart"/>
      <w:r w:rsidRPr="005C23D6">
        <w:rPr>
          <w:i/>
          <w:iCs/>
          <w:szCs w:val="22"/>
        </w:rPr>
        <w:t>medetomidin</w:t>
      </w:r>
      <w:proofErr w:type="spellEnd"/>
      <w:r w:rsidRPr="005C23D6">
        <w:rPr>
          <w:i/>
          <w:iCs/>
          <w:szCs w:val="22"/>
        </w:rPr>
        <w:t xml:space="preserve"> </w:t>
      </w:r>
      <w:proofErr w:type="spellStart"/>
      <w:r w:rsidRPr="005C23D6">
        <w:rPr>
          <w:i/>
          <w:iCs/>
          <w:szCs w:val="22"/>
        </w:rPr>
        <w:t>hydrochloridem</w:t>
      </w:r>
      <w:proofErr w:type="spellEnd"/>
      <w:r w:rsidRPr="005C23D6">
        <w:rPr>
          <w:i/>
          <w:iCs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835"/>
        <w:gridCol w:w="2835"/>
      </w:tblGrid>
      <w:tr w:rsidR="00466378" w:rsidRPr="005C23D6" w14:paraId="64979F90" w14:textId="77777777" w:rsidTr="00DF451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0915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B753C1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2514E6E3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butorfanolu</w:t>
            </w:r>
            <w:proofErr w:type="spellEnd"/>
          </w:p>
          <w:p w14:paraId="2DEA48CA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F73B50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</w:t>
            </w:r>
          </w:p>
          <w:p w14:paraId="1AAB1BF2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přípravku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BC903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293B577A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medetomidin</w:t>
            </w:r>
            <w:proofErr w:type="spellEnd"/>
            <w:r w:rsidRPr="005C23D6">
              <w:rPr>
                <w:color w:val="000000"/>
                <w:szCs w:val="22"/>
              </w:rPr>
              <w:t xml:space="preserve"> </w:t>
            </w:r>
            <w:proofErr w:type="spellStart"/>
            <w:r w:rsidRPr="005C23D6">
              <w:rPr>
                <w:color w:val="000000"/>
                <w:szCs w:val="22"/>
              </w:rPr>
              <w:t>hydrochloridu</w:t>
            </w:r>
            <w:proofErr w:type="spellEnd"/>
          </w:p>
        </w:tc>
      </w:tr>
      <w:tr w:rsidR="00466378" w:rsidRPr="005C23D6" w14:paraId="31D4F3EB" w14:textId="77777777" w:rsidTr="00DF45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32A7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F441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ind w:right="-108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3550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ED6B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ind w:right="-160"/>
              <w:jc w:val="center"/>
              <w:rPr>
                <w:bCs/>
                <w:color w:val="000000"/>
                <w:szCs w:val="22"/>
              </w:rPr>
            </w:pPr>
          </w:p>
        </w:tc>
      </w:tr>
      <w:tr w:rsidR="00466378" w:rsidRPr="005C23D6" w14:paraId="2CB7BD56" w14:textId="77777777" w:rsidTr="00DF45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543D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42128825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i.m</w:t>
            </w:r>
            <w:proofErr w:type="spellEnd"/>
            <w:r w:rsidRPr="005C23D6">
              <w:rPr>
                <w:color w:val="000000"/>
                <w:szCs w:val="22"/>
              </w:rPr>
              <w:t xml:space="preserve">. nebo </w:t>
            </w:r>
            <w:proofErr w:type="spellStart"/>
            <w:r w:rsidRPr="005C23D6">
              <w:rPr>
                <w:color w:val="000000"/>
                <w:szCs w:val="22"/>
              </w:rPr>
              <w:t>s.c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  <w:p w14:paraId="5BFDC111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89E9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0,4 mg/kg živé hmotnosti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763A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0,04 ml/kg živé hmotnosti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6CF4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0,05 mg/kg živé hmotnosti</w:t>
            </w:r>
          </w:p>
        </w:tc>
      </w:tr>
      <w:tr w:rsidR="00466378" w:rsidRPr="005C23D6" w14:paraId="00BF4DAA" w14:textId="77777777" w:rsidTr="00DF45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46EA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3B1B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after="120"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Při šití ran je třeba používat lokální anestetickou infiltraci.</w:t>
            </w:r>
          </w:p>
          <w:p w14:paraId="192021D9" w14:textId="59A7706D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Jestliže je akceptována kompatibilita, lze kombinovat přípravky obsahující </w:t>
            </w:r>
            <w:proofErr w:type="spellStart"/>
            <w:r w:rsidRPr="005C23D6">
              <w:rPr>
                <w:color w:val="000000"/>
                <w:szCs w:val="22"/>
              </w:rPr>
              <w:t>medetomidin</w:t>
            </w:r>
            <w:proofErr w:type="spellEnd"/>
            <w:r w:rsidRPr="005C23D6">
              <w:rPr>
                <w:color w:val="000000"/>
                <w:szCs w:val="22"/>
              </w:rPr>
              <w:t xml:space="preserve"> a </w:t>
            </w:r>
            <w:proofErr w:type="spellStart"/>
            <w:r w:rsidRPr="005C23D6">
              <w:rPr>
                <w:color w:val="000000"/>
                <w:szCs w:val="22"/>
              </w:rPr>
              <w:t>butorfanol</w:t>
            </w:r>
            <w:proofErr w:type="spellEnd"/>
            <w:r w:rsidRPr="005C23D6">
              <w:rPr>
                <w:color w:val="000000"/>
                <w:szCs w:val="22"/>
              </w:rPr>
              <w:t xml:space="preserve"> a podávat je ve stejné stříkačce (viz bod </w:t>
            </w:r>
            <w:r w:rsidR="00E6057D">
              <w:rPr>
                <w:color w:val="000000"/>
                <w:szCs w:val="22"/>
              </w:rPr>
              <w:t xml:space="preserve">Zvláštní upozornění – Hlavní </w:t>
            </w:r>
            <w:r w:rsidRPr="005C23D6">
              <w:rPr>
                <w:color w:val="000000"/>
                <w:szCs w:val="22"/>
              </w:rPr>
              <w:t>inkompatibility).</w:t>
            </w:r>
          </w:p>
        </w:tc>
      </w:tr>
    </w:tbl>
    <w:p w14:paraId="46131F57" w14:textId="77777777" w:rsidR="00466378" w:rsidRPr="005C23D6" w:rsidRDefault="00466378" w:rsidP="00466378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66A6295E" w14:textId="77777777" w:rsidR="00466378" w:rsidRPr="005C23D6" w:rsidRDefault="00466378" w:rsidP="00466378">
      <w:pPr>
        <w:keepNext/>
        <w:keepLines/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 xml:space="preserve">Pro anestezii v kombinaci s </w:t>
      </w:r>
      <w:proofErr w:type="spellStart"/>
      <w:r w:rsidRPr="005C23D6">
        <w:rPr>
          <w:i/>
          <w:iCs/>
          <w:szCs w:val="22"/>
        </w:rPr>
        <w:t>medetomidinem</w:t>
      </w:r>
      <w:proofErr w:type="spellEnd"/>
      <w:r w:rsidRPr="005C23D6">
        <w:rPr>
          <w:i/>
          <w:iCs/>
          <w:szCs w:val="22"/>
        </w:rPr>
        <w:t xml:space="preserve"> a </w:t>
      </w:r>
      <w:proofErr w:type="spellStart"/>
      <w:r w:rsidRPr="005C23D6">
        <w:rPr>
          <w:i/>
          <w:iCs/>
          <w:szCs w:val="22"/>
        </w:rPr>
        <w:t>ketaminem</w:t>
      </w:r>
      <w:proofErr w:type="spellEnd"/>
      <w:r w:rsidRPr="005C23D6">
        <w:rPr>
          <w:i/>
          <w:iCs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843"/>
        <w:gridCol w:w="1842"/>
        <w:gridCol w:w="2268"/>
      </w:tblGrid>
      <w:tr w:rsidR="00466378" w:rsidRPr="005C23D6" w14:paraId="76B50882" w14:textId="77777777" w:rsidTr="00DF451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DB82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ind w:left="-6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2AD454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16208D02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butorfanolu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CE4E2E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</w:t>
            </w:r>
          </w:p>
          <w:p w14:paraId="7A9A2D59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přípravku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CAAC3E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053E7236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medetomidinu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B0311F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</w:t>
            </w:r>
          </w:p>
          <w:p w14:paraId="4D59523F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ketaminu</w:t>
            </w:r>
            <w:proofErr w:type="spellEnd"/>
          </w:p>
        </w:tc>
      </w:tr>
      <w:tr w:rsidR="00466378" w:rsidRPr="005C23D6" w14:paraId="0965AC9B" w14:textId="77777777" w:rsidTr="00DF45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6A53" w14:textId="77777777" w:rsidR="00466378" w:rsidRPr="005C23D6" w:rsidRDefault="00466378" w:rsidP="00466378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B8D0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C20D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594A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73A6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</w:tr>
      <w:tr w:rsidR="00466378" w:rsidRPr="005C23D6" w14:paraId="5A3D845B" w14:textId="77777777" w:rsidTr="00DF45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6F2F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12050C62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i.m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  <w:p w14:paraId="66B8C8D1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E320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0,40 mg/kg živé hmotnosti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1D5D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0,04 ml/kg živé hmotnosti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515A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0,08 mg/kg živé hmotnosti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B7FE" w14:textId="087E1A56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5,0 mg/kg živé hmotnosti</w:t>
            </w:r>
          </w:p>
        </w:tc>
      </w:tr>
      <w:tr w:rsidR="00466378" w:rsidRPr="005C23D6" w14:paraId="2B3618B8" w14:textId="77777777" w:rsidTr="00DF45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8548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i.v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D60D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229481B9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0,10 mg/kg živé hmotnosti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573F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0,01 ml/kg živé hmotnosti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D8D8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0,04 mg/kg živé hmotnosti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787C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bCs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1,25</w:t>
            </w:r>
            <w:r w:rsidRPr="005C23D6">
              <w:rPr>
                <w:color w:val="000000"/>
                <w:szCs w:val="22"/>
              </w:rPr>
              <w:noBreakHyphen/>
              <w:t>2,50 mg/kg živé hmotnosti (v závislosti na požadované hloubce anestezie)</w:t>
            </w:r>
          </w:p>
        </w:tc>
      </w:tr>
      <w:tr w:rsidR="00466378" w:rsidRPr="005C23D6" w14:paraId="33EEB02F" w14:textId="77777777" w:rsidTr="00DF45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256E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DDF4" w14:textId="0FA5BB4E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3544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Jestliže je akceptována kompatibilita, lze kombinovat přípravky obsahující </w:t>
            </w:r>
            <w:proofErr w:type="spellStart"/>
            <w:r w:rsidRPr="005C23D6">
              <w:rPr>
                <w:color w:val="000000"/>
                <w:szCs w:val="22"/>
              </w:rPr>
              <w:t>medetomidin</w:t>
            </w:r>
            <w:proofErr w:type="spellEnd"/>
            <w:r w:rsidRPr="005C23D6">
              <w:rPr>
                <w:color w:val="000000"/>
                <w:szCs w:val="22"/>
              </w:rPr>
              <w:t xml:space="preserve">, </w:t>
            </w:r>
            <w:proofErr w:type="spellStart"/>
            <w:r w:rsidRPr="005C23D6">
              <w:rPr>
                <w:color w:val="000000"/>
                <w:szCs w:val="22"/>
              </w:rPr>
              <w:t>butorfanol</w:t>
            </w:r>
            <w:proofErr w:type="spellEnd"/>
            <w:r w:rsidRPr="005C23D6">
              <w:rPr>
                <w:color w:val="000000"/>
                <w:szCs w:val="22"/>
              </w:rPr>
              <w:t xml:space="preserve"> a </w:t>
            </w:r>
            <w:proofErr w:type="spellStart"/>
            <w:r w:rsidRPr="005C23D6">
              <w:rPr>
                <w:color w:val="000000"/>
                <w:szCs w:val="22"/>
              </w:rPr>
              <w:t>ketamin</w:t>
            </w:r>
            <w:proofErr w:type="spellEnd"/>
            <w:r w:rsidRPr="005C23D6">
              <w:rPr>
                <w:color w:val="000000"/>
                <w:szCs w:val="22"/>
              </w:rPr>
              <w:t xml:space="preserve"> a podávat je ve stejné stříkačce (viz bod </w:t>
            </w:r>
            <w:r w:rsidR="00E6057D">
              <w:rPr>
                <w:color w:val="000000"/>
                <w:szCs w:val="22"/>
              </w:rPr>
              <w:t xml:space="preserve">Zvláštní upozornění – Hlavní </w:t>
            </w:r>
            <w:r w:rsidRPr="005C23D6">
              <w:rPr>
                <w:color w:val="000000"/>
                <w:szCs w:val="22"/>
              </w:rPr>
              <w:t>inkompatibility).</w:t>
            </w:r>
          </w:p>
        </w:tc>
      </w:tr>
    </w:tbl>
    <w:p w14:paraId="66E9CD0B" w14:textId="77777777" w:rsidR="00466378" w:rsidRPr="005C23D6" w:rsidRDefault="00466378" w:rsidP="00466378">
      <w:pPr>
        <w:tabs>
          <w:tab w:val="clear" w:pos="567"/>
        </w:tabs>
        <w:spacing w:line="240" w:lineRule="auto"/>
        <w:ind w:left="567" w:hanging="567"/>
        <w:jc w:val="both"/>
        <w:rPr>
          <w:i/>
          <w:szCs w:val="22"/>
        </w:rPr>
      </w:pPr>
    </w:p>
    <w:p w14:paraId="042CF212" w14:textId="3212FDB3" w:rsidR="00466378" w:rsidRDefault="00466378" w:rsidP="00F23F90">
      <w:pPr>
        <w:keepNext/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r w:rsidRPr="005C23D6">
        <w:rPr>
          <w:szCs w:val="22"/>
          <w:u w:val="single"/>
        </w:rPr>
        <w:lastRenderedPageBreak/>
        <w:t>Kůň</w:t>
      </w:r>
      <w:r w:rsidR="00A74FA3" w:rsidRPr="00C97A66">
        <w:rPr>
          <w:szCs w:val="22"/>
        </w:rPr>
        <w:t>:</w:t>
      </w:r>
    </w:p>
    <w:p w14:paraId="77F25A66" w14:textId="77777777" w:rsidR="00A74FA3" w:rsidRPr="005C23D6" w:rsidRDefault="00A74FA3" w:rsidP="00F23F90">
      <w:pPr>
        <w:keepNext/>
        <w:tabs>
          <w:tab w:val="clear" w:pos="567"/>
          <w:tab w:val="left" w:pos="0"/>
        </w:tabs>
        <w:spacing w:line="240" w:lineRule="auto"/>
        <w:jc w:val="both"/>
        <w:rPr>
          <w:szCs w:val="22"/>
          <w:u w:val="single"/>
        </w:rPr>
      </w:pPr>
    </w:p>
    <w:p w14:paraId="4B4F5855" w14:textId="77777777" w:rsidR="00466378" w:rsidRPr="005C23D6" w:rsidRDefault="00466378" w:rsidP="00F23F90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i/>
          <w:iCs/>
          <w:szCs w:val="22"/>
        </w:rPr>
        <w:t>Pro analgezii:</w:t>
      </w:r>
    </w:p>
    <w:p w14:paraId="3DFC8CC5" w14:textId="77777777" w:rsidR="00466378" w:rsidRPr="005C23D6" w:rsidRDefault="00466378" w:rsidP="00F23F90">
      <w:pPr>
        <w:keepNext/>
        <w:tabs>
          <w:tab w:val="clear" w:pos="567"/>
          <w:tab w:val="left" w:pos="540"/>
          <w:tab w:val="left" w:pos="1134"/>
          <w:tab w:val="left" w:pos="5670"/>
        </w:tabs>
        <w:spacing w:line="240" w:lineRule="auto"/>
        <w:ind w:left="540" w:hanging="540"/>
        <w:jc w:val="both"/>
        <w:rPr>
          <w:color w:val="000000"/>
          <w:szCs w:val="22"/>
        </w:rPr>
      </w:pP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3212"/>
        <w:gridCol w:w="4407"/>
      </w:tblGrid>
      <w:tr w:rsidR="00466378" w:rsidRPr="005C23D6" w14:paraId="1F9AFB53" w14:textId="77777777" w:rsidTr="00DF4518">
        <w:trPr>
          <w:trHeight w:val="501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B13DE1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9FB22F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Dávka </w:t>
            </w:r>
            <w:proofErr w:type="spellStart"/>
            <w:r w:rsidRPr="005C23D6">
              <w:rPr>
                <w:color w:val="000000"/>
                <w:szCs w:val="22"/>
              </w:rPr>
              <w:t>butorfanolu</w:t>
            </w:r>
            <w:proofErr w:type="spellEnd"/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39FEC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</w:tr>
      <w:tr w:rsidR="00466378" w:rsidRPr="005C23D6" w14:paraId="6ED46F66" w14:textId="77777777" w:rsidTr="00DF4518">
        <w:tc>
          <w:tcPr>
            <w:tcW w:w="608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A869C9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53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EEF433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53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1B1A80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466378" w:rsidRPr="005C23D6" w14:paraId="4C617DF9" w14:textId="77777777" w:rsidTr="00DF4518">
        <w:tc>
          <w:tcPr>
            <w:tcW w:w="6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8028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4EBB7225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i.v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  <w:p w14:paraId="0816D9B3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5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5CD9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75B8F334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0,10 mg/kg živé hmotnosti</w:t>
            </w:r>
          </w:p>
          <w:p w14:paraId="53571431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53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70D8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  <w:p w14:paraId="152BEE88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1 ml/100 kg živé hmotnosti</w:t>
            </w:r>
          </w:p>
          <w:p w14:paraId="516A85A3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  <w:p w14:paraId="7E959AD3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466378" w:rsidRPr="005C23D6" w14:paraId="4B1BFDB5" w14:textId="77777777" w:rsidTr="00DF4518">
        <w:tc>
          <w:tcPr>
            <w:tcW w:w="60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93E5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9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9B40" w14:textId="77777777" w:rsidR="00466378" w:rsidRPr="005C23D6" w:rsidRDefault="00466378" w:rsidP="00466378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5C23D6">
              <w:rPr>
                <w:szCs w:val="22"/>
              </w:rPr>
              <w:t>Analgetické účinky se projevují do 15 minut od podání injekce.</w:t>
            </w:r>
          </w:p>
          <w:p w14:paraId="64E89EAB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b/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Dávka se může v případě potřeby opakovat.</w:t>
            </w:r>
          </w:p>
        </w:tc>
      </w:tr>
    </w:tbl>
    <w:p w14:paraId="0BE0DEB3" w14:textId="77777777" w:rsidR="00466378" w:rsidRPr="005C23D6" w:rsidRDefault="00466378" w:rsidP="00466378">
      <w:pPr>
        <w:tabs>
          <w:tab w:val="clear" w:pos="567"/>
          <w:tab w:val="left" w:pos="720"/>
        </w:tabs>
        <w:spacing w:line="240" w:lineRule="auto"/>
        <w:jc w:val="both"/>
        <w:rPr>
          <w:i/>
          <w:szCs w:val="22"/>
        </w:rPr>
      </w:pPr>
    </w:p>
    <w:p w14:paraId="4CCC399D" w14:textId="77777777" w:rsidR="00466378" w:rsidRPr="005C23D6" w:rsidRDefault="00466378" w:rsidP="00466378">
      <w:pPr>
        <w:tabs>
          <w:tab w:val="clear" w:pos="567"/>
          <w:tab w:val="left" w:pos="720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 xml:space="preserve">Pro </w:t>
      </w:r>
      <w:proofErr w:type="spellStart"/>
      <w:r w:rsidRPr="005C23D6">
        <w:rPr>
          <w:i/>
          <w:iCs/>
          <w:szCs w:val="22"/>
        </w:rPr>
        <w:t>sedaci</w:t>
      </w:r>
      <w:proofErr w:type="spellEnd"/>
      <w:r w:rsidRPr="005C23D6">
        <w:rPr>
          <w:i/>
          <w:iCs/>
          <w:szCs w:val="22"/>
        </w:rPr>
        <w:t xml:space="preserve"> v kombinaci s </w:t>
      </w:r>
      <w:proofErr w:type="spellStart"/>
      <w:r w:rsidRPr="005C23D6">
        <w:rPr>
          <w:i/>
          <w:iCs/>
          <w:szCs w:val="22"/>
        </w:rPr>
        <w:t>detomidin</w:t>
      </w:r>
      <w:proofErr w:type="spellEnd"/>
      <w:r w:rsidRPr="005C23D6">
        <w:rPr>
          <w:i/>
          <w:iCs/>
          <w:szCs w:val="22"/>
        </w:rPr>
        <w:t xml:space="preserve"> </w:t>
      </w:r>
      <w:proofErr w:type="spellStart"/>
      <w:r w:rsidRPr="005C23D6">
        <w:rPr>
          <w:i/>
          <w:iCs/>
          <w:szCs w:val="22"/>
        </w:rPr>
        <w:t>hydrochloridem</w:t>
      </w:r>
      <w:proofErr w:type="spellEnd"/>
      <w:r w:rsidRPr="005C23D6">
        <w:rPr>
          <w:i/>
          <w:iCs/>
          <w:szCs w:val="22"/>
        </w:rPr>
        <w:t>:</w:t>
      </w: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2004"/>
        <w:gridCol w:w="2030"/>
        <w:gridCol w:w="3585"/>
      </w:tblGrid>
      <w:tr w:rsidR="00466378" w:rsidRPr="005C23D6" w14:paraId="0C66F5C4" w14:textId="77777777" w:rsidTr="00DF4518">
        <w:trPr>
          <w:trHeight w:val="505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CB2BE7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01E06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Dávka </w:t>
            </w:r>
            <w:proofErr w:type="spellStart"/>
            <w:r w:rsidRPr="005C23D6">
              <w:rPr>
                <w:color w:val="000000"/>
                <w:szCs w:val="22"/>
              </w:rPr>
              <w:t>detomidin</w:t>
            </w:r>
            <w:proofErr w:type="spellEnd"/>
            <w:r w:rsidRPr="005C23D6">
              <w:rPr>
                <w:color w:val="000000"/>
                <w:szCs w:val="22"/>
              </w:rPr>
              <w:t xml:space="preserve"> </w:t>
            </w:r>
            <w:proofErr w:type="spellStart"/>
            <w:r w:rsidRPr="005C23D6">
              <w:rPr>
                <w:color w:val="000000"/>
                <w:szCs w:val="22"/>
              </w:rPr>
              <w:t>hydrochloridu</w:t>
            </w:r>
            <w:proofErr w:type="spellEnd"/>
          </w:p>
          <w:p w14:paraId="546CB59A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FC4A9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Dávka </w:t>
            </w:r>
            <w:proofErr w:type="spellStart"/>
            <w:r w:rsidRPr="005C23D6">
              <w:rPr>
                <w:color w:val="000000"/>
                <w:szCs w:val="22"/>
              </w:rPr>
              <w:t>butorfanolu</w:t>
            </w:r>
            <w:proofErr w:type="spellEnd"/>
            <w:r w:rsidRPr="005C23D6">
              <w:rPr>
                <w:color w:val="000000"/>
                <w:szCs w:val="22"/>
              </w:rPr>
              <w:t>*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A880ED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</w:tr>
      <w:tr w:rsidR="00466378" w:rsidRPr="005C23D6" w14:paraId="42563FA4" w14:textId="77777777" w:rsidTr="00DF4518">
        <w:trPr>
          <w:trHeight w:val="490"/>
        </w:trPr>
        <w:tc>
          <w:tcPr>
            <w:tcW w:w="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28BB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45FA878B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i.v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  <w:p w14:paraId="372EB1C5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6696FB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0,012 mg/kg živé hmotnosti</w:t>
            </w:r>
          </w:p>
        </w:tc>
        <w:tc>
          <w:tcPr>
            <w:tcW w:w="117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C871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0,025 mg/kg živé hmotnosti</w:t>
            </w:r>
          </w:p>
        </w:tc>
        <w:tc>
          <w:tcPr>
            <w:tcW w:w="206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65CC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0,25 ml/100 kg živé hmotnosti</w:t>
            </w:r>
          </w:p>
        </w:tc>
      </w:tr>
      <w:tr w:rsidR="00466378" w:rsidRPr="005C23D6" w14:paraId="1FC7B23B" w14:textId="77777777" w:rsidTr="00DF4518">
        <w:trPr>
          <w:trHeight w:val="490"/>
        </w:trPr>
        <w:tc>
          <w:tcPr>
            <w:tcW w:w="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4C13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93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320B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Detomidin</w:t>
            </w:r>
            <w:proofErr w:type="spellEnd"/>
            <w:r w:rsidRPr="005C23D6">
              <w:rPr>
                <w:color w:val="000000"/>
                <w:szCs w:val="22"/>
              </w:rPr>
              <w:t xml:space="preserve"> je nutno podat nejpozději 5 minut před dávkou </w:t>
            </w:r>
            <w:proofErr w:type="spellStart"/>
            <w:r w:rsidRPr="005C23D6">
              <w:rPr>
                <w:color w:val="000000"/>
                <w:szCs w:val="22"/>
              </w:rPr>
              <w:t>butorfanolu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</w:tc>
      </w:tr>
    </w:tbl>
    <w:p w14:paraId="4B0D50EF" w14:textId="77777777" w:rsidR="00466378" w:rsidRPr="005C23D6" w:rsidRDefault="00466378" w:rsidP="00466378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u w:val="single"/>
        </w:rPr>
      </w:pPr>
    </w:p>
    <w:p w14:paraId="58E6AFF3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* Klinické zkušenosti ukazují, že celková dávka 5 mg </w:t>
      </w:r>
      <w:proofErr w:type="spellStart"/>
      <w:r w:rsidRPr="005C23D6">
        <w:rPr>
          <w:szCs w:val="22"/>
        </w:rPr>
        <w:t>detomidin</w:t>
      </w:r>
      <w:proofErr w:type="spellEnd"/>
      <w:r w:rsidRPr="005C23D6">
        <w:rPr>
          <w:szCs w:val="22"/>
        </w:rPr>
        <w:t xml:space="preserve"> </w:t>
      </w:r>
      <w:proofErr w:type="spellStart"/>
      <w:r w:rsidRPr="005C23D6">
        <w:rPr>
          <w:szCs w:val="22"/>
        </w:rPr>
        <w:t>hydrochloridu</w:t>
      </w:r>
      <w:proofErr w:type="spellEnd"/>
      <w:r w:rsidRPr="005C23D6">
        <w:rPr>
          <w:szCs w:val="22"/>
        </w:rPr>
        <w:t xml:space="preserve"> a 10 mg </w:t>
      </w:r>
      <w:proofErr w:type="spellStart"/>
      <w:r w:rsidRPr="005C23D6">
        <w:rPr>
          <w:szCs w:val="22"/>
        </w:rPr>
        <w:t>butorfanolu</w:t>
      </w:r>
      <w:proofErr w:type="spellEnd"/>
      <w:r w:rsidRPr="005C23D6">
        <w:rPr>
          <w:szCs w:val="22"/>
        </w:rPr>
        <w:t xml:space="preserve"> umožňuje účinnou a bezpečnou </w:t>
      </w:r>
      <w:proofErr w:type="spellStart"/>
      <w:r w:rsidRPr="005C23D6">
        <w:rPr>
          <w:szCs w:val="22"/>
        </w:rPr>
        <w:t>sedaci</w:t>
      </w:r>
      <w:proofErr w:type="spellEnd"/>
      <w:r w:rsidRPr="005C23D6">
        <w:rPr>
          <w:szCs w:val="22"/>
        </w:rPr>
        <w:t xml:space="preserve"> u koní s živou</w:t>
      </w:r>
      <w:r w:rsidRPr="005C23D6">
        <w:rPr>
          <w:b/>
          <w:szCs w:val="22"/>
        </w:rPr>
        <w:t xml:space="preserve"> </w:t>
      </w:r>
      <w:r w:rsidRPr="005C23D6">
        <w:rPr>
          <w:szCs w:val="22"/>
        </w:rPr>
        <w:t>hmotností nad 200 kg.</w:t>
      </w:r>
    </w:p>
    <w:p w14:paraId="24F8CFED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784D77FC" w14:textId="77777777" w:rsidR="00466378" w:rsidRPr="005C23D6" w:rsidRDefault="00466378" w:rsidP="00466378">
      <w:pPr>
        <w:keepNext/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5C23D6">
        <w:rPr>
          <w:i/>
          <w:iCs/>
          <w:szCs w:val="22"/>
        </w:rPr>
        <w:t xml:space="preserve">Pro </w:t>
      </w:r>
      <w:proofErr w:type="spellStart"/>
      <w:r w:rsidRPr="005C23D6">
        <w:rPr>
          <w:i/>
          <w:iCs/>
          <w:szCs w:val="22"/>
        </w:rPr>
        <w:t>sedaci</w:t>
      </w:r>
      <w:proofErr w:type="spellEnd"/>
      <w:r w:rsidRPr="005C23D6">
        <w:rPr>
          <w:i/>
          <w:iCs/>
          <w:szCs w:val="22"/>
        </w:rPr>
        <w:t xml:space="preserve"> v kombinaci s </w:t>
      </w:r>
      <w:proofErr w:type="spellStart"/>
      <w:r w:rsidRPr="005C23D6">
        <w:rPr>
          <w:i/>
          <w:iCs/>
          <w:szCs w:val="22"/>
        </w:rPr>
        <w:t>romifidinem</w:t>
      </w:r>
      <w:proofErr w:type="spellEnd"/>
      <w:r w:rsidRPr="005C23D6">
        <w:rPr>
          <w:i/>
          <w:iCs/>
          <w:szCs w:val="22"/>
        </w:rPr>
        <w:t>:</w:t>
      </w: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2004"/>
        <w:gridCol w:w="2030"/>
        <w:gridCol w:w="3585"/>
      </w:tblGrid>
      <w:tr w:rsidR="00466378" w:rsidRPr="005C23D6" w14:paraId="7D02AB8C" w14:textId="77777777" w:rsidTr="00DF4518">
        <w:trPr>
          <w:trHeight w:val="505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0E3ED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Způsob podání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4CBCB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Dávka </w:t>
            </w:r>
            <w:proofErr w:type="spellStart"/>
            <w:r w:rsidRPr="005C23D6">
              <w:rPr>
                <w:color w:val="000000"/>
                <w:szCs w:val="22"/>
              </w:rPr>
              <w:t>romifidinu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7B1CA3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 xml:space="preserve">Dávka </w:t>
            </w:r>
            <w:proofErr w:type="spellStart"/>
            <w:r w:rsidRPr="005C23D6">
              <w:rPr>
                <w:color w:val="000000"/>
                <w:szCs w:val="22"/>
              </w:rPr>
              <w:t>butorfanolu</w:t>
            </w:r>
            <w:proofErr w:type="spellEnd"/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0676A6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Dávka přípravku</w:t>
            </w:r>
          </w:p>
        </w:tc>
      </w:tr>
      <w:tr w:rsidR="00466378" w:rsidRPr="005C23D6" w14:paraId="2156B90C" w14:textId="77777777" w:rsidTr="00DF4518">
        <w:trPr>
          <w:trHeight w:val="490"/>
        </w:trPr>
        <w:tc>
          <w:tcPr>
            <w:tcW w:w="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13C4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i.v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  <w:p w14:paraId="350F346C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5AF47E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0,04</w:t>
            </w:r>
            <w:r w:rsidRPr="005C23D6">
              <w:rPr>
                <w:color w:val="000000"/>
                <w:szCs w:val="22"/>
              </w:rPr>
              <w:noBreakHyphen/>
              <w:t>0,12 mg/kg živé hmotnosti</w:t>
            </w:r>
          </w:p>
        </w:tc>
        <w:tc>
          <w:tcPr>
            <w:tcW w:w="117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56C5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0,02 mg/kg živé hmotnosti</w:t>
            </w:r>
          </w:p>
        </w:tc>
        <w:tc>
          <w:tcPr>
            <w:tcW w:w="206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AAF8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5C23D6">
              <w:rPr>
                <w:b/>
                <w:bCs/>
                <w:color w:val="000000"/>
                <w:szCs w:val="22"/>
              </w:rPr>
              <w:t>0,2 ml/100 kg živé hmotnosti</w:t>
            </w:r>
          </w:p>
        </w:tc>
      </w:tr>
      <w:tr w:rsidR="00466378" w:rsidRPr="005C23D6" w14:paraId="6838EE64" w14:textId="77777777" w:rsidTr="00DF4518">
        <w:trPr>
          <w:trHeight w:val="490"/>
        </w:trPr>
        <w:tc>
          <w:tcPr>
            <w:tcW w:w="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C9BE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5C23D6">
              <w:rPr>
                <w:color w:val="000000"/>
                <w:szCs w:val="22"/>
              </w:rPr>
              <w:t>Komentář</w:t>
            </w:r>
          </w:p>
        </w:tc>
        <w:tc>
          <w:tcPr>
            <w:tcW w:w="4393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4355" w14:textId="77777777" w:rsidR="00466378" w:rsidRPr="005C23D6" w:rsidRDefault="00466378" w:rsidP="00466378">
            <w:pPr>
              <w:keepNext/>
              <w:keepLines/>
              <w:tabs>
                <w:tab w:val="clear" w:pos="567"/>
                <w:tab w:val="left" w:pos="540"/>
                <w:tab w:val="left" w:pos="1134"/>
                <w:tab w:val="left" w:pos="5670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proofErr w:type="spellStart"/>
            <w:r w:rsidRPr="005C23D6">
              <w:rPr>
                <w:color w:val="000000"/>
                <w:szCs w:val="22"/>
              </w:rPr>
              <w:t>Romifidin</w:t>
            </w:r>
            <w:proofErr w:type="spellEnd"/>
            <w:r w:rsidRPr="005C23D6">
              <w:rPr>
                <w:color w:val="000000"/>
                <w:szCs w:val="22"/>
              </w:rPr>
              <w:t xml:space="preserve"> je nutno podat nejpozději 5 minut před dávkou </w:t>
            </w:r>
            <w:proofErr w:type="spellStart"/>
            <w:r w:rsidRPr="005C23D6">
              <w:rPr>
                <w:color w:val="000000"/>
                <w:szCs w:val="22"/>
              </w:rPr>
              <w:t>butorfanolu</w:t>
            </w:r>
            <w:proofErr w:type="spellEnd"/>
            <w:r w:rsidRPr="005C23D6">
              <w:rPr>
                <w:color w:val="000000"/>
                <w:szCs w:val="22"/>
              </w:rPr>
              <w:t>.</w:t>
            </w:r>
          </w:p>
        </w:tc>
      </w:tr>
    </w:tbl>
    <w:p w14:paraId="6B1E5C59" w14:textId="77777777" w:rsidR="00466378" w:rsidRDefault="00466378" w:rsidP="0046637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26863495" w14:textId="569AA64D" w:rsidR="00E6057D" w:rsidRPr="005C23D6" w:rsidRDefault="00E6057D" w:rsidP="00E6057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Před zkombinováním </w:t>
      </w:r>
      <w:proofErr w:type="spellStart"/>
      <w:r w:rsidRPr="005C23D6">
        <w:rPr>
          <w:szCs w:val="22"/>
        </w:rPr>
        <w:t>tohoto</w:t>
      </w:r>
      <w:r>
        <w:rPr>
          <w:szCs w:val="22"/>
        </w:rPr>
        <w:t>veterinárního</w:t>
      </w:r>
      <w:proofErr w:type="spellEnd"/>
      <w:r>
        <w:rPr>
          <w:szCs w:val="22"/>
        </w:rPr>
        <w:t xml:space="preserve"> léčivého</w:t>
      </w:r>
      <w:r w:rsidRPr="005C23D6">
        <w:rPr>
          <w:szCs w:val="22"/>
        </w:rPr>
        <w:t xml:space="preserve"> přípravku a podáním ve stejné stříkačce s dalšími veterinárními léčivými přípravky si vždy přečtěte bod </w:t>
      </w:r>
      <w:r>
        <w:rPr>
          <w:szCs w:val="22"/>
        </w:rPr>
        <w:t xml:space="preserve">Zvláštní upozornění – Hlavní </w:t>
      </w:r>
      <w:r w:rsidRPr="005C23D6">
        <w:rPr>
          <w:szCs w:val="22"/>
        </w:rPr>
        <w:t>inkompatibility.</w:t>
      </w:r>
    </w:p>
    <w:p w14:paraId="07C4E7A4" w14:textId="118EE67B" w:rsidR="00E6057D" w:rsidRPr="005C23D6" w:rsidRDefault="00E6057D" w:rsidP="0046637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C23D6">
        <w:rPr>
          <w:szCs w:val="22"/>
        </w:rPr>
        <w:t>Při použití jehel velikosti 21G a 23G nepřekračujte 100 propíchnutí na jednu injekční lahvičku. Při použití jehly 18G nepřekračujte 40 propíchnutí na jednu injekční lahvičku.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E8445" w14:textId="77777777" w:rsidR="00E6057D" w:rsidRPr="005C23D6" w:rsidRDefault="00E605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5C23D6" w:rsidRDefault="00C605FD" w:rsidP="00B13B6D">
      <w:pPr>
        <w:pStyle w:val="Style1"/>
      </w:pPr>
      <w:r w:rsidRPr="005C23D6">
        <w:rPr>
          <w:highlight w:val="lightGray"/>
        </w:rPr>
        <w:t>9.</w:t>
      </w:r>
      <w:r w:rsidRPr="005C23D6">
        <w:tab/>
        <w:t>Informace o správném podávání</w:t>
      </w:r>
    </w:p>
    <w:p w14:paraId="624424AD" w14:textId="77777777" w:rsidR="00F520FE" w:rsidRPr="005C23D6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F578539" w14:textId="1FDA4B66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Neuplatňuje se</w:t>
      </w:r>
      <w:r w:rsidR="00675570">
        <w:rPr>
          <w:szCs w:val="22"/>
        </w:rPr>
        <w:t>.</w:t>
      </w:r>
    </w:p>
    <w:p w14:paraId="02AB09DD" w14:textId="77777777" w:rsidR="00466378" w:rsidRPr="005C23D6" w:rsidRDefault="00466378" w:rsidP="00B13B6D">
      <w:pPr>
        <w:pStyle w:val="Style1"/>
        <w:rPr>
          <w:highlight w:val="lightGray"/>
        </w:rPr>
      </w:pPr>
    </w:p>
    <w:p w14:paraId="5DC0FD22" w14:textId="77777777" w:rsidR="00466378" w:rsidRPr="005C23D6" w:rsidRDefault="00466378" w:rsidP="00B13B6D">
      <w:pPr>
        <w:pStyle w:val="Style1"/>
        <w:rPr>
          <w:highlight w:val="lightGray"/>
        </w:rPr>
      </w:pPr>
    </w:p>
    <w:p w14:paraId="1C7AFC49" w14:textId="76A61D5A" w:rsidR="00DB468A" w:rsidRPr="005C23D6" w:rsidRDefault="00C605FD" w:rsidP="00B13B6D">
      <w:pPr>
        <w:pStyle w:val="Style1"/>
      </w:pPr>
      <w:r w:rsidRPr="005C23D6">
        <w:rPr>
          <w:highlight w:val="lightGray"/>
        </w:rPr>
        <w:t>10.</w:t>
      </w:r>
      <w:r w:rsidRPr="005C23D6">
        <w:tab/>
        <w:t>Ochranné lhůty</w:t>
      </w:r>
    </w:p>
    <w:p w14:paraId="352D3C6F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00D48C" w14:textId="342D95B4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5C23D6">
        <w:rPr>
          <w:szCs w:val="22"/>
        </w:rPr>
        <w:t>Maso: Bez ochranných lhůt.</w:t>
      </w:r>
    </w:p>
    <w:p w14:paraId="66E6BDB9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5C23D6">
        <w:rPr>
          <w:szCs w:val="22"/>
        </w:rPr>
        <w:t>Nepoužívat u klisen, jejichž mléko je určeno pro lidskou spotřebu.</w:t>
      </w:r>
    </w:p>
    <w:p w14:paraId="237445D8" w14:textId="77777777" w:rsidR="00DB468A" w:rsidRPr="005C23D6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356959" w14:textId="77777777" w:rsidR="0091648F" w:rsidRPr="005C23D6" w:rsidRDefault="0091648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5C23D6" w:rsidRDefault="00C605FD" w:rsidP="00B13B6D">
      <w:pPr>
        <w:pStyle w:val="Style1"/>
      </w:pPr>
      <w:r w:rsidRPr="005C23D6">
        <w:rPr>
          <w:highlight w:val="lightGray"/>
        </w:rPr>
        <w:t>11.</w:t>
      </w:r>
      <w:r w:rsidRPr="005C23D6">
        <w:tab/>
        <w:t>Zvláštní opatření pro uchovávání</w:t>
      </w:r>
    </w:p>
    <w:p w14:paraId="5437653D" w14:textId="77777777" w:rsidR="00C114FF" w:rsidRPr="005C23D6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51C22E1" w14:textId="53D4F5BA" w:rsidR="00466378" w:rsidRPr="005C23D6" w:rsidRDefault="00E6057D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Uchovávejte</w:t>
      </w:r>
      <w:r w:rsidRPr="005C23D6">
        <w:rPr>
          <w:szCs w:val="22"/>
        </w:rPr>
        <w:t xml:space="preserve"> </w:t>
      </w:r>
      <w:r w:rsidR="00466378" w:rsidRPr="005C23D6">
        <w:rPr>
          <w:szCs w:val="22"/>
        </w:rPr>
        <w:t>mimo dohled a dosah dětí.</w:t>
      </w:r>
    </w:p>
    <w:p w14:paraId="64475DFE" w14:textId="77777777" w:rsidR="00E6057D" w:rsidRDefault="00E6057D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73032E" w14:textId="55090C7D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Tento veterinární léčivý přípravek nevyžaduje žádné zvláštní podmínky uchovávání.</w:t>
      </w:r>
    </w:p>
    <w:p w14:paraId="7E4DD5D9" w14:textId="2BE3CA85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lastRenderedPageBreak/>
        <w:t xml:space="preserve">Nepoužívejte tento veterinární léčivý přípravek po uplynutí doby použitelnosti uvedené na </w:t>
      </w:r>
      <w:r w:rsidR="001868DC">
        <w:rPr>
          <w:szCs w:val="22"/>
        </w:rPr>
        <w:t>krabičce a </w:t>
      </w:r>
      <w:r w:rsidRPr="005C23D6">
        <w:rPr>
          <w:szCs w:val="22"/>
        </w:rPr>
        <w:t xml:space="preserve">etiketě po </w:t>
      </w:r>
      <w:r w:rsidR="001868DC">
        <w:rPr>
          <w:szCs w:val="22"/>
        </w:rPr>
        <w:t>Exp</w:t>
      </w:r>
      <w:r w:rsidRPr="005C23D6">
        <w:rPr>
          <w:szCs w:val="22"/>
        </w:rPr>
        <w:t>. Doba použitelnosti končí posledním dnem v uvedeném měsíci.</w:t>
      </w:r>
    </w:p>
    <w:p w14:paraId="0B11D361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>Doba použitelnosti po prvním otevření vnitřního obalu: 28 dnů.</w:t>
      </w:r>
    </w:p>
    <w:p w14:paraId="18C8E104" w14:textId="77777777" w:rsidR="0091648F" w:rsidRPr="005C23D6" w:rsidRDefault="0091648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5C23D6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5C23D6" w:rsidRDefault="00C605FD" w:rsidP="00F23F90">
      <w:pPr>
        <w:pStyle w:val="Style1"/>
        <w:keepNext/>
      </w:pPr>
      <w:r w:rsidRPr="005C23D6">
        <w:rPr>
          <w:highlight w:val="lightGray"/>
        </w:rPr>
        <w:t>12.</w:t>
      </w:r>
      <w:r w:rsidRPr="005C23D6">
        <w:tab/>
        <w:t xml:space="preserve">Zvláštní opatření pro </w:t>
      </w:r>
      <w:r w:rsidR="00CF069C" w:rsidRPr="005C23D6">
        <w:t>likvidaci</w:t>
      </w:r>
    </w:p>
    <w:p w14:paraId="7C575CD6" w14:textId="77777777" w:rsidR="00C114FF" w:rsidRPr="005C23D6" w:rsidRDefault="00C114FF" w:rsidP="00F23F9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801EBBD" w14:textId="77777777" w:rsidR="007A55BD" w:rsidRPr="005C23D6" w:rsidRDefault="007A55BD" w:rsidP="007A55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rPr>
          <w:szCs w:val="22"/>
        </w:rPr>
        <w:t xml:space="preserve">Léčivé přípravky se nesmí likvidovat prostřednictvím odpadní vody či domovního odpadu. </w:t>
      </w:r>
    </w:p>
    <w:p w14:paraId="1FD82656" w14:textId="77777777" w:rsidR="007A55BD" w:rsidRPr="005C23D6" w:rsidRDefault="007A55BD" w:rsidP="008161AE"/>
    <w:p w14:paraId="6EEE92D0" w14:textId="1E258125" w:rsidR="008161AE" w:rsidRPr="005C23D6" w:rsidRDefault="008161AE" w:rsidP="008161AE">
      <w:pPr>
        <w:rPr>
          <w:szCs w:val="22"/>
        </w:rPr>
      </w:pPr>
      <w:r w:rsidRPr="005C23D6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1832069" w14:textId="77777777" w:rsidR="008161AE" w:rsidRPr="005C23D6" w:rsidRDefault="008161AE" w:rsidP="008161AE">
      <w:pPr>
        <w:tabs>
          <w:tab w:val="clear" w:pos="567"/>
        </w:tabs>
        <w:spacing w:line="240" w:lineRule="auto"/>
        <w:rPr>
          <w:szCs w:val="22"/>
        </w:rPr>
      </w:pPr>
    </w:p>
    <w:p w14:paraId="2E7F36E2" w14:textId="2ABB5CCF" w:rsidR="008161AE" w:rsidRPr="005C23D6" w:rsidRDefault="008161AE" w:rsidP="005C23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23D6">
        <w:t>O možnostech likvidace nepotřebných léčivých přípravků se poraďte s vaším veterinárním lékařem nebo lékárníkem.</w:t>
      </w:r>
    </w:p>
    <w:p w14:paraId="0D6D26C1" w14:textId="77777777" w:rsidR="0091648F" w:rsidRPr="005C23D6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5C23D6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5C23D6" w:rsidRDefault="00C605FD" w:rsidP="00B13B6D">
      <w:pPr>
        <w:pStyle w:val="Style1"/>
      </w:pPr>
      <w:r w:rsidRPr="005C23D6">
        <w:rPr>
          <w:highlight w:val="lightGray"/>
        </w:rPr>
        <w:t>13.</w:t>
      </w:r>
      <w:r w:rsidRPr="005C23D6">
        <w:tab/>
        <w:t>Klasifikace veterinárních léčivých přípravků</w:t>
      </w:r>
    </w:p>
    <w:p w14:paraId="76BF11F0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34607BD8" w:rsidR="00DB468A" w:rsidRPr="005C23D6" w:rsidRDefault="00613DA8" w:rsidP="00A9226B">
      <w:pPr>
        <w:tabs>
          <w:tab w:val="clear" w:pos="567"/>
        </w:tabs>
        <w:spacing w:line="240" w:lineRule="auto"/>
      </w:pPr>
      <w:r w:rsidRPr="005C23D6">
        <w:t>Veterinární léčivý přípravek je vydáván pouze na předpis.</w:t>
      </w:r>
    </w:p>
    <w:p w14:paraId="01762C46" w14:textId="77777777" w:rsidR="00613DA8" w:rsidRPr="005C23D6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10065B" w14:textId="77777777" w:rsidR="0091648F" w:rsidRPr="005C23D6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5C23D6" w:rsidRDefault="00C605FD" w:rsidP="00B13B6D">
      <w:pPr>
        <w:pStyle w:val="Style1"/>
      </w:pPr>
      <w:r w:rsidRPr="005C23D6">
        <w:rPr>
          <w:highlight w:val="lightGray"/>
        </w:rPr>
        <w:t>14.</w:t>
      </w:r>
      <w:r w:rsidRPr="005C23D6">
        <w:tab/>
        <w:t>Registrační čísla a velikosti balení</w:t>
      </w:r>
    </w:p>
    <w:p w14:paraId="7A2F65F6" w14:textId="77777777" w:rsidR="00DB468A" w:rsidRPr="005C23D6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C37EF3" w14:textId="77777777" w:rsidR="00466378" w:rsidRPr="005C23D6" w:rsidRDefault="00466378" w:rsidP="00466378">
      <w:pPr>
        <w:tabs>
          <w:tab w:val="clear" w:pos="567"/>
        </w:tabs>
        <w:spacing w:line="240" w:lineRule="auto"/>
        <w:rPr>
          <w:szCs w:val="22"/>
        </w:rPr>
      </w:pPr>
      <w:r w:rsidRPr="005C23D6">
        <w:rPr>
          <w:szCs w:val="22"/>
        </w:rPr>
        <w:t>96/097/</w:t>
      </w:r>
      <w:proofErr w:type="gramStart"/>
      <w:r w:rsidRPr="005C23D6">
        <w:rPr>
          <w:szCs w:val="22"/>
        </w:rPr>
        <w:t>16-C</w:t>
      </w:r>
      <w:proofErr w:type="gramEnd"/>
    </w:p>
    <w:p w14:paraId="0A5E379F" w14:textId="77777777" w:rsidR="0091648F" w:rsidRPr="005C23D6" w:rsidRDefault="0091648F" w:rsidP="00A9226B">
      <w:pPr>
        <w:tabs>
          <w:tab w:val="clear" w:pos="567"/>
        </w:tabs>
        <w:spacing w:line="240" w:lineRule="auto"/>
      </w:pPr>
    </w:p>
    <w:p w14:paraId="62E55573" w14:textId="6654D53F" w:rsidR="0005727D" w:rsidRPr="005C23D6" w:rsidRDefault="0005727D" w:rsidP="0005727D">
      <w:pPr>
        <w:tabs>
          <w:tab w:val="clear" w:pos="567"/>
        </w:tabs>
        <w:spacing w:line="240" w:lineRule="auto"/>
        <w:jc w:val="both"/>
        <w:rPr>
          <w:color w:val="000000"/>
          <w:szCs w:val="22"/>
        </w:rPr>
      </w:pPr>
      <w:r w:rsidRPr="005C23D6">
        <w:rPr>
          <w:szCs w:val="22"/>
        </w:rPr>
        <w:t xml:space="preserve">Velikost balení: </w:t>
      </w:r>
      <w:r w:rsidR="001868DC">
        <w:rPr>
          <w:szCs w:val="22"/>
        </w:rPr>
        <w:t xml:space="preserve">Kartonová krabička se skleněnou injekční lahvičkou o obsahu </w:t>
      </w:r>
      <w:r w:rsidRPr="005C23D6">
        <w:rPr>
          <w:szCs w:val="22"/>
        </w:rPr>
        <w:t xml:space="preserve">10 ml </w:t>
      </w:r>
      <w:r w:rsidR="001868DC">
        <w:rPr>
          <w:szCs w:val="22"/>
        </w:rPr>
        <w:t>nebo</w:t>
      </w:r>
      <w:r w:rsidR="001868DC" w:rsidRPr="005C23D6">
        <w:rPr>
          <w:szCs w:val="22"/>
        </w:rPr>
        <w:t xml:space="preserve"> </w:t>
      </w:r>
      <w:r w:rsidRPr="005C23D6">
        <w:rPr>
          <w:szCs w:val="22"/>
        </w:rPr>
        <w:t>20 ml.</w:t>
      </w:r>
    </w:p>
    <w:p w14:paraId="130C0ED2" w14:textId="77777777" w:rsidR="0005727D" w:rsidRPr="005C23D6" w:rsidRDefault="0005727D" w:rsidP="0005727D">
      <w:pPr>
        <w:tabs>
          <w:tab w:val="clear" w:pos="567"/>
        </w:tabs>
        <w:spacing w:line="240" w:lineRule="auto"/>
        <w:jc w:val="both"/>
        <w:rPr>
          <w:color w:val="000000"/>
          <w:szCs w:val="22"/>
        </w:rPr>
      </w:pPr>
      <w:r w:rsidRPr="005C23D6">
        <w:rPr>
          <w:szCs w:val="22"/>
        </w:rPr>
        <w:t>Na trhu nemusí být všechny velikosti balení.</w:t>
      </w:r>
    </w:p>
    <w:p w14:paraId="1E0A47F2" w14:textId="77777777" w:rsidR="00DB468A" w:rsidRPr="005C23D6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1BC312" w14:textId="77777777" w:rsidR="0005727D" w:rsidRPr="005C23D6" w:rsidRDefault="000572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5C23D6" w:rsidRDefault="00C605FD" w:rsidP="00B13B6D">
      <w:pPr>
        <w:pStyle w:val="Style1"/>
      </w:pPr>
      <w:r w:rsidRPr="005C23D6">
        <w:rPr>
          <w:highlight w:val="lightGray"/>
        </w:rPr>
        <w:t>15.</w:t>
      </w:r>
      <w:r w:rsidRPr="005C23D6">
        <w:tab/>
        <w:t>Datum poslední revize příbalové informace</w:t>
      </w:r>
    </w:p>
    <w:p w14:paraId="6781F72F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D84B42" w14:textId="265ECD24" w:rsidR="00FC23B4" w:rsidRPr="005C23D6" w:rsidRDefault="00FC23B4" w:rsidP="0005727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06/2025</w:t>
      </w:r>
    </w:p>
    <w:p w14:paraId="055C3393" w14:textId="77777777" w:rsidR="00200987" w:rsidRPr="005C23D6" w:rsidRDefault="00200987" w:rsidP="00200987">
      <w:pPr>
        <w:tabs>
          <w:tab w:val="clear" w:pos="567"/>
        </w:tabs>
        <w:spacing w:line="240" w:lineRule="auto"/>
        <w:rPr>
          <w:szCs w:val="22"/>
        </w:rPr>
      </w:pPr>
    </w:p>
    <w:p w14:paraId="3D332FE5" w14:textId="77777777" w:rsidR="00200987" w:rsidRDefault="00200987" w:rsidP="00200987">
      <w:pPr>
        <w:tabs>
          <w:tab w:val="clear" w:pos="567"/>
        </w:tabs>
        <w:spacing w:line="240" w:lineRule="auto"/>
        <w:rPr>
          <w:szCs w:val="22"/>
        </w:rPr>
      </w:pPr>
      <w:r w:rsidRPr="005C23D6">
        <w:t xml:space="preserve">Podrobné informace o tomto veterinárním léčivém přípravku jsou k dispozici v databázi přípravků Unie </w:t>
      </w:r>
      <w:r w:rsidRPr="005C23D6">
        <w:rPr>
          <w:szCs w:val="22"/>
        </w:rPr>
        <w:t>(</w:t>
      </w:r>
      <w:hyperlink r:id="rId10" w:history="1">
        <w:r w:rsidRPr="005C23D6">
          <w:rPr>
            <w:rStyle w:val="Hypertextovodkaz"/>
            <w:szCs w:val="22"/>
          </w:rPr>
          <w:t>https://medicines.health.europa.eu/veterinary</w:t>
        </w:r>
      </w:hyperlink>
      <w:r w:rsidRPr="005C23D6">
        <w:rPr>
          <w:szCs w:val="22"/>
        </w:rPr>
        <w:t>).</w:t>
      </w:r>
    </w:p>
    <w:p w14:paraId="1D480353" w14:textId="77777777" w:rsidR="00675570" w:rsidRPr="005C23D6" w:rsidRDefault="00675570" w:rsidP="00200987">
      <w:pPr>
        <w:tabs>
          <w:tab w:val="clear" w:pos="567"/>
        </w:tabs>
        <w:spacing w:line="240" w:lineRule="auto"/>
        <w:rPr>
          <w:szCs w:val="22"/>
        </w:rPr>
      </w:pPr>
    </w:p>
    <w:p w14:paraId="5BC90F87" w14:textId="77777777" w:rsidR="00675570" w:rsidRPr="00974AC6" w:rsidRDefault="00675570" w:rsidP="00675570">
      <w:pPr>
        <w:spacing w:line="240" w:lineRule="auto"/>
        <w:jc w:val="both"/>
      </w:pPr>
      <w:r w:rsidRPr="00974AC6">
        <w:t>Podrobné informace o tomto veterinárním léčivém přípravku naleznete také v národní databázi (</w:t>
      </w:r>
      <w:hyperlink r:id="rId11" w:history="1">
        <w:r w:rsidRPr="00974AC6">
          <w:rPr>
            <w:rStyle w:val="Hypertextovodkaz"/>
          </w:rPr>
          <w:t>https://www.us</w:t>
        </w:r>
        <w:bookmarkStart w:id="2" w:name="_GoBack"/>
        <w:bookmarkEnd w:id="2"/>
        <w:r w:rsidRPr="00974AC6">
          <w:rPr>
            <w:rStyle w:val="Hypertextovodkaz"/>
          </w:rPr>
          <w:t>kvbl.cz</w:t>
        </w:r>
      </w:hyperlink>
      <w:r w:rsidRPr="00974AC6">
        <w:t>).</w:t>
      </w:r>
    </w:p>
    <w:p w14:paraId="703CC20D" w14:textId="77777777" w:rsidR="0091648F" w:rsidRPr="005C23D6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5C23D6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5C23D6" w:rsidRDefault="00C605FD" w:rsidP="00B13B6D">
      <w:pPr>
        <w:pStyle w:val="Style1"/>
      </w:pPr>
      <w:r w:rsidRPr="005C23D6">
        <w:rPr>
          <w:highlight w:val="lightGray"/>
        </w:rPr>
        <w:t>16.</w:t>
      </w:r>
      <w:r w:rsidRPr="005C23D6">
        <w:tab/>
        <w:t>Kontaktní údaje</w:t>
      </w:r>
    </w:p>
    <w:p w14:paraId="43F06BBF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0E40C0" w14:textId="47E18868" w:rsidR="005328A8" w:rsidRPr="005C23D6" w:rsidRDefault="005328A8" w:rsidP="005328A8">
      <w:pPr>
        <w:rPr>
          <w:iCs/>
          <w:szCs w:val="22"/>
        </w:rPr>
      </w:pPr>
      <w:bookmarkStart w:id="3" w:name="_Hlk73552578"/>
      <w:r w:rsidRPr="005C23D6">
        <w:rPr>
          <w:iCs/>
          <w:szCs w:val="22"/>
          <w:u w:val="single"/>
        </w:rPr>
        <w:t>Držitel rozhodnutí o registraci</w:t>
      </w:r>
      <w:r w:rsidRPr="005C23D6">
        <w:t>:</w:t>
      </w:r>
    </w:p>
    <w:bookmarkEnd w:id="3"/>
    <w:p w14:paraId="2FF19A8A" w14:textId="09D8B7AB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5C23D6">
        <w:rPr>
          <w:szCs w:val="22"/>
        </w:rPr>
        <w:t>Le</w:t>
      </w:r>
      <w:proofErr w:type="spellEnd"/>
      <w:r w:rsidRPr="005C23D6">
        <w:rPr>
          <w:szCs w:val="22"/>
        </w:rPr>
        <w:t xml:space="preserve"> Vet</w:t>
      </w:r>
      <w:r w:rsidR="00A74FA3">
        <w:rPr>
          <w:szCs w:val="22"/>
        </w:rPr>
        <w:t>.</w:t>
      </w:r>
      <w:r w:rsidRPr="005C23D6">
        <w:rPr>
          <w:szCs w:val="22"/>
        </w:rPr>
        <w:t xml:space="preserve"> </w:t>
      </w:r>
      <w:proofErr w:type="spellStart"/>
      <w:r w:rsidRPr="005C23D6">
        <w:rPr>
          <w:szCs w:val="22"/>
        </w:rPr>
        <w:t>Beheer</w:t>
      </w:r>
      <w:proofErr w:type="spellEnd"/>
      <w:r w:rsidRPr="005C23D6">
        <w:rPr>
          <w:szCs w:val="22"/>
        </w:rPr>
        <w:t xml:space="preserve"> B.V.</w:t>
      </w:r>
    </w:p>
    <w:p w14:paraId="62C25B53" w14:textId="11B4E299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5C23D6">
        <w:rPr>
          <w:szCs w:val="22"/>
        </w:rPr>
        <w:t>Wilgenweg</w:t>
      </w:r>
      <w:proofErr w:type="spellEnd"/>
      <w:r w:rsidRPr="005C23D6">
        <w:rPr>
          <w:szCs w:val="22"/>
        </w:rPr>
        <w:t xml:space="preserve"> 7</w:t>
      </w:r>
    </w:p>
    <w:p w14:paraId="55366C06" w14:textId="540A7A7D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5C23D6">
        <w:rPr>
          <w:szCs w:val="22"/>
        </w:rPr>
        <w:t xml:space="preserve">3421 TV </w:t>
      </w:r>
      <w:proofErr w:type="spellStart"/>
      <w:r w:rsidRPr="005C23D6">
        <w:rPr>
          <w:szCs w:val="22"/>
        </w:rPr>
        <w:t>Oudewater</w:t>
      </w:r>
      <w:proofErr w:type="spellEnd"/>
    </w:p>
    <w:p w14:paraId="23DAF919" w14:textId="6269C5E5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5C23D6">
        <w:rPr>
          <w:szCs w:val="22"/>
        </w:rPr>
        <w:t>Nizozemsko</w:t>
      </w:r>
    </w:p>
    <w:p w14:paraId="72D6D47F" w14:textId="77777777" w:rsidR="005328A8" w:rsidRPr="005C23D6" w:rsidRDefault="005328A8" w:rsidP="005328A8">
      <w:pPr>
        <w:tabs>
          <w:tab w:val="clear" w:pos="567"/>
        </w:tabs>
        <w:spacing w:line="240" w:lineRule="auto"/>
        <w:rPr>
          <w:szCs w:val="22"/>
        </w:rPr>
      </w:pPr>
    </w:p>
    <w:p w14:paraId="36A308AB" w14:textId="77777777" w:rsidR="005328A8" w:rsidRPr="005C23D6" w:rsidRDefault="005328A8" w:rsidP="005328A8">
      <w:pPr>
        <w:rPr>
          <w:bCs/>
          <w:szCs w:val="22"/>
        </w:rPr>
      </w:pPr>
      <w:r w:rsidRPr="005C23D6">
        <w:rPr>
          <w:bCs/>
          <w:szCs w:val="22"/>
          <w:u w:val="single"/>
        </w:rPr>
        <w:t>Výrobce odpovědný za uvolnění šarže</w:t>
      </w:r>
      <w:r w:rsidRPr="005C23D6">
        <w:t>:</w:t>
      </w:r>
    </w:p>
    <w:p w14:paraId="54C57DCC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 w:rsidRPr="005C23D6">
        <w:rPr>
          <w:szCs w:val="22"/>
        </w:rPr>
        <w:t>Produlab</w:t>
      </w:r>
      <w:proofErr w:type="spellEnd"/>
      <w:r w:rsidRPr="005C23D6">
        <w:rPr>
          <w:szCs w:val="22"/>
        </w:rPr>
        <w:t xml:space="preserve"> </w:t>
      </w:r>
      <w:proofErr w:type="spellStart"/>
      <w:r w:rsidRPr="005C23D6">
        <w:rPr>
          <w:szCs w:val="22"/>
        </w:rPr>
        <w:t>Pharma</w:t>
      </w:r>
      <w:proofErr w:type="spellEnd"/>
      <w:r w:rsidRPr="005C23D6">
        <w:rPr>
          <w:szCs w:val="22"/>
        </w:rPr>
        <w:t xml:space="preserve"> B.V.</w:t>
      </w:r>
    </w:p>
    <w:p w14:paraId="3777CFC7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 w:rsidRPr="005C23D6">
        <w:rPr>
          <w:szCs w:val="22"/>
        </w:rPr>
        <w:t>Forellenweg</w:t>
      </w:r>
      <w:proofErr w:type="spellEnd"/>
      <w:r w:rsidRPr="005C23D6">
        <w:rPr>
          <w:szCs w:val="22"/>
        </w:rPr>
        <w:t xml:space="preserve"> 16</w:t>
      </w:r>
    </w:p>
    <w:p w14:paraId="0A6AE8E0" w14:textId="77777777" w:rsidR="00466378" w:rsidRPr="005C23D6" w:rsidRDefault="00466378" w:rsidP="0046637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5C23D6">
        <w:rPr>
          <w:szCs w:val="22"/>
        </w:rPr>
        <w:t xml:space="preserve">4941 SJ </w:t>
      </w:r>
      <w:proofErr w:type="spellStart"/>
      <w:r w:rsidRPr="005C23D6">
        <w:rPr>
          <w:szCs w:val="22"/>
        </w:rPr>
        <w:t>Raamsdonksveer</w:t>
      </w:r>
      <w:proofErr w:type="spellEnd"/>
    </w:p>
    <w:p w14:paraId="27905DC4" w14:textId="42749C36" w:rsidR="005328A8" w:rsidRDefault="00466378" w:rsidP="00466378">
      <w:pPr>
        <w:rPr>
          <w:szCs w:val="22"/>
        </w:rPr>
      </w:pPr>
      <w:r w:rsidRPr="005C23D6">
        <w:rPr>
          <w:szCs w:val="22"/>
        </w:rPr>
        <w:t>Nizozemsko</w:t>
      </w:r>
    </w:p>
    <w:p w14:paraId="263DD588" w14:textId="77777777" w:rsidR="001868DC" w:rsidRDefault="001868DC" w:rsidP="005328A8">
      <w:pPr>
        <w:pStyle w:val="Style4"/>
        <w:rPr>
          <w:u w:val="single"/>
        </w:rPr>
      </w:pPr>
      <w:bookmarkStart w:id="4" w:name="_Hlk73552585"/>
    </w:p>
    <w:p w14:paraId="6869F347" w14:textId="7A15828A" w:rsidR="005328A8" w:rsidRPr="005C23D6" w:rsidRDefault="005328A8" w:rsidP="005328A8">
      <w:pPr>
        <w:pStyle w:val="Style4"/>
      </w:pPr>
      <w:r w:rsidRPr="005C23D6">
        <w:rPr>
          <w:u w:val="single"/>
        </w:rPr>
        <w:t>Místní zástupci a kontaktní údaje pro hlášení podezření na nežádoucí účinky</w:t>
      </w:r>
      <w:r w:rsidRPr="005C23D6">
        <w:t>:</w:t>
      </w:r>
    </w:p>
    <w:bookmarkEnd w:id="4"/>
    <w:p w14:paraId="7597CA0C" w14:textId="2372C9E8" w:rsidR="005328A8" w:rsidRPr="00C97A66" w:rsidRDefault="00A74FA3" w:rsidP="005328A8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C97A66">
        <w:rPr>
          <w:color w:val="000000"/>
          <w:szCs w:val="22"/>
          <w:lang w:val="en-US" w:eastAsia="nl-NL"/>
        </w:rPr>
        <w:lastRenderedPageBreak/>
        <w:t xml:space="preserve">SEVARON </w:t>
      </w:r>
      <w:proofErr w:type="spellStart"/>
      <w:r w:rsidRPr="00C97A66">
        <w:rPr>
          <w:color w:val="000000"/>
          <w:szCs w:val="22"/>
          <w:lang w:val="en-US" w:eastAsia="nl-NL"/>
        </w:rPr>
        <w:t>s.r.o.</w:t>
      </w:r>
      <w:proofErr w:type="spellEnd"/>
      <w:r w:rsidRPr="00C97A66">
        <w:rPr>
          <w:color w:val="000000"/>
          <w:szCs w:val="22"/>
          <w:lang w:val="en-US" w:eastAsia="nl-NL"/>
        </w:rPr>
        <w:br/>
      </w:r>
      <w:proofErr w:type="spellStart"/>
      <w:r w:rsidRPr="00C97A66">
        <w:rPr>
          <w:color w:val="000000"/>
          <w:szCs w:val="22"/>
          <w:lang w:val="en-US" w:eastAsia="nl-NL"/>
        </w:rPr>
        <w:t>Palackého</w:t>
      </w:r>
      <w:proofErr w:type="spellEnd"/>
      <w:r w:rsidRPr="00C97A66">
        <w:rPr>
          <w:color w:val="000000"/>
          <w:szCs w:val="22"/>
          <w:lang w:val="en-US" w:eastAsia="nl-NL"/>
        </w:rPr>
        <w:t xml:space="preserve"> </w:t>
      </w:r>
      <w:proofErr w:type="spellStart"/>
      <w:r w:rsidRPr="00C97A66">
        <w:rPr>
          <w:color w:val="000000"/>
          <w:szCs w:val="22"/>
          <w:lang w:val="en-US" w:eastAsia="nl-NL"/>
        </w:rPr>
        <w:t>třída</w:t>
      </w:r>
      <w:proofErr w:type="spellEnd"/>
      <w:r w:rsidRPr="00C97A66">
        <w:rPr>
          <w:color w:val="000000"/>
          <w:szCs w:val="22"/>
          <w:lang w:val="en-US" w:eastAsia="nl-NL"/>
        </w:rPr>
        <w:t xml:space="preserve"> 163a</w:t>
      </w:r>
      <w:r w:rsidRPr="00C97A66">
        <w:rPr>
          <w:color w:val="000000"/>
          <w:szCs w:val="22"/>
          <w:lang w:val="en-US" w:eastAsia="nl-NL"/>
        </w:rPr>
        <w:br/>
        <w:t>61200 Brno</w:t>
      </w:r>
      <w:r w:rsidRPr="00C97A66">
        <w:rPr>
          <w:color w:val="000000"/>
          <w:szCs w:val="22"/>
          <w:lang w:val="en-US" w:eastAsia="nl-NL"/>
        </w:rPr>
        <w:br/>
      </w:r>
      <w:proofErr w:type="spellStart"/>
      <w:r w:rsidRPr="00C97A66">
        <w:rPr>
          <w:color w:val="000000"/>
          <w:szCs w:val="22"/>
          <w:lang w:val="en-US" w:eastAsia="nl-NL"/>
        </w:rPr>
        <w:t>Češka</w:t>
      </w:r>
      <w:proofErr w:type="spellEnd"/>
      <w:r w:rsidRPr="00C97A66">
        <w:rPr>
          <w:color w:val="000000"/>
          <w:szCs w:val="22"/>
          <w:lang w:val="en-US" w:eastAsia="nl-NL"/>
        </w:rPr>
        <w:t xml:space="preserve"> </w:t>
      </w:r>
      <w:proofErr w:type="spellStart"/>
      <w:r w:rsidRPr="00C97A66">
        <w:rPr>
          <w:color w:val="000000"/>
          <w:szCs w:val="22"/>
          <w:lang w:val="en-US" w:eastAsia="nl-NL"/>
        </w:rPr>
        <w:t>republika</w:t>
      </w:r>
      <w:proofErr w:type="spellEnd"/>
      <w:r w:rsidRPr="00C97A66">
        <w:rPr>
          <w:color w:val="000000"/>
          <w:szCs w:val="22"/>
          <w:lang w:val="en-US" w:eastAsia="nl-NL"/>
        </w:rPr>
        <w:br/>
        <w:t>Tel: +420 777714152</w:t>
      </w:r>
    </w:p>
    <w:p w14:paraId="5A506775" w14:textId="77777777" w:rsidR="009F6819" w:rsidRPr="00C97A66" w:rsidRDefault="009F6819" w:rsidP="005328A8">
      <w:pPr>
        <w:tabs>
          <w:tab w:val="clear" w:pos="567"/>
        </w:tabs>
        <w:spacing w:line="240" w:lineRule="auto"/>
        <w:rPr>
          <w:szCs w:val="22"/>
        </w:rPr>
      </w:pPr>
    </w:p>
    <w:p w14:paraId="5B2F25DE" w14:textId="44D3C5C0" w:rsidR="005328A8" w:rsidRPr="005C23D6" w:rsidRDefault="005328A8" w:rsidP="005328A8">
      <w:pPr>
        <w:tabs>
          <w:tab w:val="clear" w:pos="567"/>
        </w:tabs>
        <w:spacing w:line="240" w:lineRule="auto"/>
        <w:rPr>
          <w:szCs w:val="22"/>
        </w:rPr>
      </w:pPr>
      <w:r w:rsidRPr="005C23D6">
        <w:t>Pokud chcete získat informace o tomto veterinárním léčivém přípravku, kontaktujte prosím příslušného místního zástupce držitele rozhodnutí o registraci.</w:t>
      </w:r>
    </w:p>
    <w:p w14:paraId="61B865D1" w14:textId="77777777" w:rsidR="00C114FF" w:rsidRPr="005C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1C8CA" w14:textId="77777777" w:rsidR="0091648F" w:rsidRPr="005C23D6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0964DC51" w:rsidR="00BB2539" w:rsidRPr="005C23D6" w:rsidRDefault="00C605FD" w:rsidP="00B13B6D">
      <w:pPr>
        <w:pStyle w:val="Style1"/>
      </w:pPr>
      <w:r w:rsidRPr="005C23D6">
        <w:rPr>
          <w:highlight w:val="lightGray"/>
        </w:rPr>
        <w:t>17.</w:t>
      </w:r>
      <w:r w:rsidRPr="005C23D6">
        <w:tab/>
        <w:t>Další informace</w:t>
      </w:r>
    </w:p>
    <w:p w14:paraId="1ED4FB3D" w14:textId="77777777" w:rsidR="0091648F" w:rsidRPr="005C23D6" w:rsidRDefault="0091648F" w:rsidP="00B13B6D">
      <w:pPr>
        <w:pStyle w:val="Style1"/>
      </w:pPr>
    </w:p>
    <w:p w14:paraId="38EA27CB" w14:textId="77777777" w:rsidR="001868DC" w:rsidRPr="00C97A66" w:rsidRDefault="001868DC" w:rsidP="001868D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C97A66">
        <w:rPr>
          <w:szCs w:val="22"/>
          <w:u w:val="single"/>
        </w:rPr>
        <w:t>Nástup účinku a trvání analgezie</w:t>
      </w:r>
      <w:r w:rsidRPr="00A74FA3">
        <w:rPr>
          <w:szCs w:val="22"/>
        </w:rPr>
        <w:t>:</w:t>
      </w:r>
    </w:p>
    <w:p w14:paraId="72BBFD3F" w14:textId="77B87145" w:rsidR="005F346D" w:rsidRPr="005C23D6" w:rsidRDefault="001868DC" w:rsidP="00C97A66">
      <w:pPr>
        <w:tabs>
          <w:tab w:val="clear" w:pos="567"/>
        </w:tabs>
        <w:autoSpaceDE w:val="0"/>
        <w:autoSpaceDN w:val="0"/>
        <w:adjustRightInd w:val="0"/>
        <w:spacing w:line="240" w:lineRule="atLeast"/>
        <w:rPr>
          <w:szCs w:val="22"/>
        </w:rPr>
      </w:pPr>
      <w:r w:rsidRPr="005C23D6">
        <w:rPr>
          <w:szCs w:val="22"/>
        </w:rPr>
        <w:t>Analgezie obecně nastupuje do 15 minut od intravenózního podání. U koně po jednorázovém intravenózním podání dávky trvá analgezie obvykle 15</w:t>
      </w:r>
      <w:r>
        <w:rPr>
          <w:szCs w:val="22"/>
        </w:rPr>
        <w:t>–</w:t>
      </w:r>
      <w:r w:rsidRPr="005C23D6">
        <w:rPr>
          <w:szCs w:val="22"/>
        </w:rPr>
        <w:t>60 minut.</w:t>
      </w:r>
    </w:p>
    <w:sectPr w:rsidR="005F346D" w:rsidRPr="005C23D6" w:rsidSect="003837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CE4FF" w14:textId="77777777" w:rsidR="002F03D2" w:rsidRDefault="002F03D2">
      <w:pPr>
        <w:spacing w:line="240" w:lineRule="auto"/>
      </w:pPr>
      <w:r>
        <w:separator/>
      </w:r>
    </w:p>
  </w:endnote>
  <w:endnote w:type="continuationSeparator" w:id="0">
    <w:p w14:paraId="04816831" w14:textId="77777777" w:rsidR="002F03D2" w:rsidRDefault="002F0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306D7" w14:textId="77777777" w:rsidR="00B132CF" w:rsidRDefault="00B132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DF4518" w:rsidRPr="00E0068C" w:rsidRDefault="00DF45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DF4518" w:rsidRPr="00E0068C" w:rsidRDefault="00DF45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09906" w14:textId="77777777" w:rsidR="002F03D2" w:rsidRDefault="002F03D2">
      <w:pPr>
        <w:spacing w:line="240" w:lineRule="auto"/>
      </w:pPr>
      <w:r>
        <w:separator/>
      </w:r>
    </w:p>
  </w:footnote>
  <w:footnote w:type="continuationSeparator" w:id="0">
    <w:p w14:paraId="585C3767" w14:textId="77777777" w:rsidR="002F03D2" w:rsidRDefault="002F03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A8BE5" w14:textId="77777777" w:rsidR="00B132CF" w:rsidRDefault="00B132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3602A" w14:textId="1B71BB81" w:rsidR="00DF4518" w:rsidRDefault="00DF45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F2D5A" w14:textId="77777777" w:rsidR="00B132CF" w:rsidRDefault="00B132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89851AB"/>
    <w:multiLevelType w:val="hybridMultilevel"/>
    <w:tmpl w:val="395E21F8"/>
    <w:lvl w:ilvl="0" w:tplc="8040BB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9B81F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0D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88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CD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83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66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E6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661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93B32B3"/>
    <w:multiLevelType w:val="hybridMultilevel"/>
    <w:tmpl w:val="EB64DA84"/>
    <w:lvl w:ilvl="0" w:tplc="09FA1B1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C46C03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400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6D7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EC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7CC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0F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AD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AE8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24E434D"/>
    <w:multiLevelType w:val="hybridMultilevel"/>
    <w:tmpl w:val="96A6F1D4"/>
    <w:lvl w:ilvl="0" w:tplc="CBA076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D846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CF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23C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A0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58D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C0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89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EF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1903A8"/>
    <w:multiLevelType w:val="hybridMultilevel"/>
    <w:tmpl w:val="E018A536"/>
    <w:lvl w:ilvl="0" w:tplc="C83C2EA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2CE8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65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0E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A6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585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8C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C6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0485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A3F65D8"/>
    <w:multiLevelType w:val="multilevel"/>
    <w:tmpl w:val="A02E932A"/>
    <w:numStyleLink w:val="BulletsAgency"/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6"/>
  </w:num>
  <w:num w:numId="6">
    <w:abstractNumId w:val="28"/>
  </w:num>
  <w:num w:numId="7">
    <w:abstractNumId w:val="23"/>
  </w:num>
  <w:num w:numId="8">
    <w:abstractNumId w:val="11"/>
  </w:num>
  <w:num w:numId="9">
    <w:abstractNumId w:val="34"/>
  </w:num>
  <w:num w:numId="10">
    <w:abstractNumId w:val="35"/>
  </w:num>
  <w:num w:numId="11">
    <w:abstractNumId w:val="18"/>
  </w:num>
  <w:num w:numId="12">
    <w:abstractNumId w:val="17"/>
  </w:num>
  <w:num w:numId="13">
    <w:abstractNumId w:val="3"/>
  </w:num>
  <w:num w:numId="14">
    <w:abstractNumId w:val="33"/>
  </w:num>
  <w:num w:numId="15">
    <w:abstractNumId w:val="21"/>
  </w:num>
  <w:num w:numId="16">
    <w:abstractNumId w:val="38"/>
  </w:num>
  <w:num w:numId="17">
    <w:abstractNumId w:val="12"/>
  </w:num>
  <w:num w:numId="18">
    <w:abstractNumId w:val="1"/>
  </w:num>
  <w:num w:numId="19">
    <w:abstractNumId w:val="19"/>
  </w:num>
  <w:num w:numId="20">
    <w:abstractNumId w:val="4"/>
  </w:num>
  <w:num w:numId="21">
    <w:abstractNumId w:val="9"/>
  </w:num>
  <w:num w:numId="22">
    <w:abstractNumId w:val="30"/>
  </w:num>
  <w:num w:numId="23">
    <w:abstractNumId w:val="39"/>
  </w:num>
  <w:num w:numId="24">
    <w:abstractNumId w:val="25"/>
  </w:num>
  <w:num w:numId="25">
    <w:abstractNumId w:val="13"/>
  </w:num>
  <w:num w:numId="26">
    <w:abstractNumId w:val="15"/>
  </w:num>
  <w:num w:numId="27">
    <w:abstractNumId w:val="7"/>
  </w:num>
  <w:num w:numId="28">
    <w:abstractNumId w:val="8"/>
  </w:num>
  <w:num w:numId="29">
    <w:abstractNumId w:val="26"/>
  </w:num>
  <w:num w:numId="30">
    <w:abstractNumId w:val="41"/>
  </w:num>
  <w:num w:numId="31">
    <w:abstractNumId w:val="42"/>
  </w:num>
  <w:num w:numId="32">
    <w:abstractNumId w:val="24"/>
  </w:num>
  <w:num w:numId="33">
    <w:abstractNumId w:val="32"/>
  </w:num>
  <w:num w:numId="34">
    <w:abstractNumId w:val="27"/>
  </w:num>
  <w:num w:numId="35">
    <w:abstractNumId w:val="2"/>
  </w:num>
  <w:num w:numId="36">
    <w:abstractNumId w:val="5"/>
  </w:num>
  <w:num w:numId="37">
    <w:abstractNumId w:val="29"/>
  </w:num>
  <w:num w:numId="38">
    <w:abstractNumId w:val="20"/>
  </w:num>
  <w:num w:numId="39">
    <w:abstractNumId w:val="40"/>
  </w:num>
  <w:num w:numId="40">
    <w:abstractNumId w:val="31"/>
  </w:num>
  <w:num w:numId="41">
    <w:abstractNumId w:val="6"/>
  </w:num>
  <w:num w:numId="42">
    <w:abstractNumId w:val="22"/>
  </w:num>
  <w:num w:numId="43">
    <w:abstractNumId w:val="10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184C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5727D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4741"/>
    <w:rsid w:val="000F5822"/>
    <w:rsid w:val="000F796B"/>
    <w:rsid w:val="0010031E"/>
    <w:rsid w:val="001012EB"/>
    <w:rsid w:val="00102F3C"/>
    <w:rsid w:val="001078D1"/>
    <w:rsid w:val="00110974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6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77242"/>
    <w:rsid w:val="001803D2"/>
    <w:rsid w:val="0018228B"/>
    <w:rsid w:val="001846B7"/>
    <w:rsid w:val="00185B50"/>
    <w:rsid w:val="0018625C"/>
    <w:rsid w:val="0018657D"/>
    <w:rsid w:val="001868DC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6F0"/>
    <w:rsid w:val="001A621E"/>
    <w:rsid w:val="001B146F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937"/>
    <w:rsid w:val="00250DD1"/>
    <w:rsid w:val="00251183"/>
    <w:rsid w:val="00251689"/>
    <w:rsid w:val="0025267C"/>
    <w:rsid w:val="00253B6B"/>
    <w:rsid w:val="00256A03"/>
    <w:rsid w:val="0025748D"/>
    <w:rsid w:val="00261197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4401"/>
    <w:rsid w:val="00295140"/>
    <w:rsid w:val="002A0E7C"/>
    <w:rsid w:val="002A0EED"/>
    <w:rsid w:val="002A21ED"/>
    <w:rsid w:val="002A3F88"/>
    <w:rsid w:val="002A710D"/>
    <w:rsid w:val="002B0F11"/>
    <w:rsid w:val="002B2E17"/>
    <w:rsid w:val="002B361B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3D2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0B41"/>
    <w:rsid w:val="00316E87"/>
    <w:rsid w:val="0032110A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270F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567"/>
    <w:rsid w:val="003A31B9"/>
    <w:rsid w:val="003A3E2F"/>
    <w:rsid w:val="003A6CCB"/>
    <w:rsid w:val="003A6F73"/>
    <w:rsid w:val="003B0F22"/>
    <w:rsid w:val="003B10C4"/>
    <w:rsid w:val="003B48EB"/>
    <w:rsid w:val="003B5CD1"/>
    <w:rsid w:val="003C33FF"/>
    <w:rsid w:val="003C3E0E"/>
    <w:rsid w:val="003C64A5"/>
    <w:rsid w:val="003D03CC"/>
    <w:rsid w:val="003D184E"/>
    <w:rsid w:val="003D2988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9CE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6378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71F"/>
    <w:rsid w:val="004F6F64"/>
    <w:rsid w:val="005004EC"/>
    <w:rsid w:val="00506AAE"/>
    <w:rsid w:val="00516E21"/>
    <w:rsid w:val="00517756"/>
    <w:rsid w:val="005202C6"/>
    <w:rsid w:val="00523C53"/>
    <w:rsid w:val="00523C73"/>
    <w:rsid w:val="005272F4"/>
    <w:rsid w:val="00527B8F"/>
    <w:rsid w:val="005328A8"/>
    <w:rsid w:val="00533A4D"/>
    <w:rsid w:val="00536031"/>
    <w:rsid w:val="0054134B"/>
    <w:rsid w:val="00542012"/>
    <w:rsid w:val="00543DF5"/>
    <w:rsid w:val="00545A61"/>
    <w:rsid w:val="0054770A"/>
    <w:rsid w:val="0055260D"/>
    <w:rsid w:val="00555422"/>
    <w:rsid w:val="00555810"/>
    <w:rsid w:val="00562715"/>
    <w:rsid w:val="00562DCA"/>
    <w:rsid w:val="0056568F"/>
    <w:rsid w:val="005712BD"/>
    <w:rsid w:val="00572251"/>
    <w:rsid w:val="0057436C"/>
    <w:rsid w:val="0057522B"/>
    <w:rsid w:val="00575DE3"/>
    <w:rsid w:val="00580B08"/>
    <w:rsid w:val="00582578"/>
    <w:rsid w:val="00582B2A"/>
    <w:rsid w:val="0058621D"/>
    <w:rsid w:val="00586904"/>
    <w:rsid w:val="00594EC7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2F5"/>
    <w:rsid w:val="005C23D6"/>
    <w:rsid w:val="005C276A"/>
    <w:rsid w:val="005D380C"/>
    <w:rsid w:val="005D3F79"/>
    <w:rsid w:val="005D6E04"/>
    <w:rsid w:val="005D7A12"/>
    <w:rsid w:val="005E3658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3DA8"/>
    <w:rsid w:val="00616F1D"/>
    <w:rsid w:val="0061726B"/>
    <w:rsid w:val="00617B81"/>
    <w:rsid w:val="0062387A"/>
    <w:rsid w:val="006326D8"/>
    <w:rsid w:val="0063377D"/>
    <w:rsid w:val="006344BE"/>
    <w:rsid w:val="00634A66"/>
    <w:rsid w:val="006370A5"/>
    <w:rsid w:val="00640336"/>
    <w:rsid w:val="00640FC9"/>
    <w:rsid w:val="006414D3"/>
    <w:rsid w:val="006432F2"/>
    <w:rsid w:val="006459CF"/>
    <w:rsid w:val="0065320F"/>
    <w:rsid w:val="00653D64"/>
    <w:rsid w:val="00654E13"/>
    <w:rsid w:val="00666503"/>
    <w:rsid w:val="00667489"/>
    <w:rsid w:val="00670D44"/>
    <w:rsid w:val="00670DDB"/>
    <w:rsid w:val="00673F4C"/>
    <w:rsid w:val="00675570"/>
    <w:rsid w:val="006764C6"/>
    <w:rsid w:val="00676AFC"/>
    <w:rsid w:val="00676FEB"/>
    <w:rsid w:val="006807CD"/>
    <w:rsid w:val="00682D43"/>
    <w:rsid w:val="0068507D"/>
    <w:rsid w:val="00685BAF"/>
    <w:rsid w:val="0068612D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11A5"/>
    <w:rsid w:val="007032A3"/>
    <w:rsid w:val="00705EAF"/>
    <w:rsid w:val="0070773E"/>
    <w:rsid w:val="007101CC"/>
    <w:rsid w:val="00715441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145A"/>
    <w:rsid w:val="007A286D"/>
    <w:rsid w:val="007A314D"/>
    <w:rsid w:val="007A38DF"/>
    <w:rsid w:val="007A55BD"/>
    <w:rsid w:val="007B00E5"/>
    <w:rsid w:val="007B20CF"/>
    <w:rsid w:val="007B2499"/>
    <w:rsid w:val="007B72E1"/>
    <w:rsid w:val="007B783A"/>
    <w:rsid w:val="007C1B95"/>
    <w:rsid w:val="007C3DF3"/>
    <w:rsid w:val="007C3F5F"/>
    <w:rsid w:val="007C796D"/>
    <w:rsid w:val="007D3AAE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7F70EB"/>
    <w:rsid w:val="00800FE0"/>
    <w:rsid w:val="0080514E"/>
    <w:rsid w:val="008066AD"/>
    <w:rsid w:val="00812CD8"/>
    <w:rsid w:val="008145D9"/>
    <w:rsid w:val="00814AF1"/>
    <w:rsid w:val="0081517F"/>
    <w:rsid w:val="00815370"/>
    <w:rsid w:val="008161AE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1D7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48F"/>
    <w:rsid w:val="00921CAD"/>
    <w:rsid w:val="009311ED"/>
    <w:rsid w:val="00931D41"/>
    <w:rsid w:val="00933D18"/>
    <w:rsid w:val="00942221"/>
    <w:rsid w:val="00944524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5FB"/>
    <w:rsid w:val="00975676"/>
    <w:rsid w:val="00976467"/>
    <w:rsid w:val="00976D32"/>
    <w:rsid w:val="0098220E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6819"/>
    <w:rsid w:val="00A00C78"/>
    <w:rsid w:val="00A0479E"/>
    <w:rsid w:val="00A07979"/>
    <w:rsid w:val="00A11755"/>
    <w:rsid w:val="00A16BAC"/>
    <w:rsid w:val="00A207FB"/>
    <w:rsid w:val="00A20ADC"/>
    <w:rsid w:val="00A23942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4F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1C6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2CF"/>
    <w:rsid w:val="00B13B6D"/>
    <w:rsid w:val="00B177F2"/>
    <w:rsid w:val="00B201F1"/>
    <w:rsid w:val="00B2603F"/>
    <w:rsid w:val="00B304E7"/>
    <w:rsid w:val="00B318B6"/>
    <w:rsid w:val="00B33B13"/>
    <w:rsid w:val="00B3499B"/>
    <w:rsid w:val="00B36E65"/>
    <w:rsid w:val="00B4167F"/>
    <w:rsid w:val="00B41D57"/>
    <w:rsid w:val="00B41F47"/>
    <w:rsid w:val="00B44468"/>
    <w:rsid w:val="00B606F8"/>
    <w:rsid w:val="00B60AC9"/>
    <w:rsid w:val="00B660D6"/>
    <w:rsid w:val="00B67323"/>
    <w:rsid w:val="00B70ACB"/>
    <w:rsid w:val="00B715F2"/>
    <w:rsid w:val="00B74071"/>
    <w:rsid w:val="00B7428E"/>
    <w:rsid w:val="00B74B67"/>
    <w:rsid w:val="00B75580"/>
    <w:rsid w:val="00B779AA"/>
    <w:rsid w:val="00B81A95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A5EAA"/>
    <w:rsid w:val="00BB04EB"/>
    <w:rsid w:val="00BB2539"/>
    <w:rsid w:val="00BB4CE2"/>
    <w:rsid w:val="00BB5D44"/>
    <w:rsid w:val="00BB5EF0"/>
    <w:rsid w:val="00BB6724"/>
    <w:rsid w:val="00BC0EFB"/>
    <w:rsid w:val="00BC2E39"/>
    <w:rsid w:val="00BC6106"/>
    <w:rsid w:val="00BD2364"/>
    <w:rsid w:val="00BD28E3"/>
    <w:rsid w:val="00BE117E"/>
    <w:rsid w:val="00BE3261"/>
    <w:rsid w:val="00BF00EF"/>
    <w:rsid w:val="00BF58FC"/>
    <w:rsid w:val="00C01F77"/>
    <w:rsid w:val="00C01FFC"/>
    <w:rsid w:val="00C0401E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5D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6EC4"/>
    <w:rsid w:val="00C47552"/>
    <w:rsid w:val="00C56F31"/>
    <w:rsid w:val="00C57A81"/>
    <w:rsid w:val="00C60193"/>
    <w:rsid w:val="00C603BD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7A66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2D40"/>
    <w:rsid w:val="00D0359D"/>
    <w:rsid w:val="00D04DED"/>
    <w:rsid w:val="00D1089A"/>
    <w:rsid w:val="00D116BD"/>
    <w:rsid w:val="00D16FE0"/>
    <w:rsid w:val="00D2001A"/>
    <w:rsid w:val="00D20684"/>
    <w:rsid w:val="00D22CE9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39A3"/>
    <w:rsid w:val="00DD53C3"/>
    <w:rsid w:val="00DD669D"/>
    <w:rsid w:val="00DE127F"/>
    <w:rsid w:val="00DE424A"/>
    <w:rsid w:val="00DE4419"/>
    <w:rsid w:val="00DE4F11"/>
    <w:rsid w:val="00DE67C4"/>
    <w:rsid w:val="00DF0ACA"/>
    <w:rsid w:val="00DF0DF7"/>
    <w:rsid w:val="00DF2245"/>
    <w:rsid w:val="00DF35C8"/>
    <w:rsid w:val="00DF451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057D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117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3F90"/>
    <w:rsid w:val="00F26644"/>
    <w:rsid w:val="00F26A05"/>
    <w:rsid w:val="00F307CE"/>
    <w:rsid w:val="00F343C8"/>
    <w:rsid w:val="00F345A8"/>
    <w:rsid w:val="00F354C5"/>
    <w:rsid w:val="00F37108"/>
    <w:rsid w:val="00F377D5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3B4"/>
    <w:rsid w:val="00FC50AA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1F0E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kladntextodsazenChar">
    <w:name w:val="Základní text odsazený Char"/>
    <w:link w:val="Zkladntextodsazen"/>
    <w:rsid w:val="007F70EB"/>
    <w:rPr>
      <w:b/>
      <w:sz w:val="22"/>
      <w:lang w:eastAsia="en-US"/>
    </w:rPr>
  </w:style>
  <w:style w:type="paragraph" w:customStyle="1" w:styleId="BODY">
    <w:name w:val="BODY"/>
    <w:basedOn w:val="Normln"/>
    <w:qFormat/>
    <w:rsid w:val="007F70EB"/>
    <w:pPr>
      <w:spacing w:after="220" w:line="240" w:lineRule="auto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C146-40B5-411F-90A0-40526B20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2809</Words>
  <Characters>16574</Characters>
  <Application>Microsoft Office Word</Application>
  <DocSecurity>0</DocSecurity>
  <Lines>138</Lines>
  <Paragraphs>38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13</cp:revision>
  <cp:lastPrinted>2025-06-27T09:55:00Z</cp:lastPrinted>
  <dcterms:created xsi:type="dcterms:W3CDTF">2025-03-31T05:43:00Z</dcterms:created>
  <dcterms:modified xsi:type="dcterms:W3CDTF">2025-06-27T09:55:00Z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