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BDAC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9F491DB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68C53C0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075DAC0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4559DB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391390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545668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27C4B7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56749E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68AF59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BFB7C9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9E685B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BA3A7E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06DF3A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529559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DC5485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475EEB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B533DD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37841C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77FBBD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A5522E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F29F4C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7A05AD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DCA07AF" w14:textId="79BF18F5" w:rsidR="00ED367A" w:rsidRDefault="00EF0213" w:rsidP="00CE7AB3">
      <w:pPr>
        <w:pStyle w:val="Style3"/>
        <w:numPr>
          <w:ilvl w:val="0"/>
          <w:numId w:val="0"/>
        </w:numPr>
      </w:pPr>
      <w:r>
        <w:t xml:space="preserve">B. </w:t>
      </w:r>
      <w:r w:rsidR="007A303B">
        <w:t>PŘÍBALOVÁ INFORMACE</w:t>
      </w:r>
    </w:p>
    <w:p w14:paraId="6A9577AC" w14:textId="77777777" w:rsidR="00ED367A" w:rsidRDefault="007A303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PŘÍBALOVÁ INFORMACE</w:t>
      </w:r>
    </w:p>
    <w:p w14:paraId="031CFD0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A2456A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F1C2AD8" w14:textId="77777777" w:rsidR="00ED367A" w:rsidRDefault="007A303B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66A46E7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D2E72D4" w14:textId="77777777" w:rsidR="00ED367A" w:rsidRDefault="007A303B">
      <w:pPr>
        <w:rPr>
          <w:szCs w:val="22"/>
        </w:rPr>
      </w:pPr>
      <w:r>
        <w:rPr>
          <w:szCs w:val="22"/>
        </w:rPr>
        <w:t>Alzane 5 mg/ml injekční roztok pro psy a kočky</w:t>
      </w:r>
    </w:p>
    <w:p w14:paraId="09F81BF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E558A4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2A5A9F2" w14:textId="77777777" w:rsidR="00ED367A" w:rsidRDefault="007A303B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28756396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7A2D96" w14:textId="4D5484C1" w:rsidR="00ED367A" w:rsidRDefault="00F23E21">
      <w:pPr>
        <w:rPr>
          <w:szCs w:val="22"/>
        </w:rPr>
      </w:pPr>
      <w:r>
        <w:rPr>
          <w:szCs w:val="22"/>
        </w:rPr>
        <w:t>Každý</w:t>
      </w:r>
      <w:r w:rsidR="007A303B">
        <w:rPr>
          <w:szCs w:val="22"/>
        </w:rPr>
        <w:t xml:space="preserve"> ml obsahuje:</w:t>
      </w:r>
    </w:p>
    <w:p w14:paraId="7C33B7E5" w14:textId="77777777" w:rsidR="00ED367A" w:rsidRDefault="00ED367A">
      <w:pPr>
        <w:pStyle w:val="Zhlav"/>
        <w:rPr>
          <w:rFonts w:ascii="Times New Roman" w:hAnsi="Times New Roman"/>
          <w:sz w:val="22"/>
          <w:szCs w:val="22"/>
          <w:u w:val="single"/>
        </w:rPr>
      </w:pPr>
    </w:p>
    <w:p w14:paraId="6722B550" w14:textId="77777777" w:rsidR="00ED367A" w:rsidRDefault="007A303B">
      <w:pPr>
        <w:pStyle w:val="Zhlav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Léčivá látka:</w:t>
      </w:r>
    </w:p>
    <w:p w14:paraId="1619D8EB" w14:textId="77777777" w:rsidR="00273469" w:rsidRDefault="007A303B" w:rsidP="00273469">
      <w:pPr>
        <w:pStyle w:val="Textvysvtlivek"/>
        <w:tabs>
          <w:tab w:val="left" w:pos="1701"/>
        </w:tabs>
        <w:rPr>
          <w:szCs w:val="22"/>
        </w:rPr>
      </w:pPr>
      <w:r>
        <w:rPr>
          <w:szCs w:val="22"/>
        </w:rPr>
        <w:t>Atipamezoli hydrochloridum 5</w:t>
      </w:r>
      <w:r w:rsidR="00273469">
        <w:rPr>
          <w:szCs w:val="22"/>
        </w:rPr>
        <w:t>,0 mg (odpovídá 4,27 mg atipamezolové báze)</w:t>
      </w:r>
    </w:p>
    <w:p w14:paraId="3992B845" w14:textId="78A36012" w:rsidR="00ED367A" w:rsidRDefault="00ED367A">
      <w:pPr>
        <w:pStyle w:val="Textvysvtlivek"/>
        <w:tabs>
          <w:tab w:val="left" w:pos="1701"/>
        </w:tabs>
        <w:rPr>
          <w:szCs w:val="22"/>
        </w:rPr>
      </w:pPr>
    </w:p>
    <w:p w14:paraId="4CB412B8" w14:textId="77777777" w:rsidR="00ED367A" w:rsidRDefault="00ED367A">
      <w:pPr>
        <w:pStyle w:val="Textvysvtlivek"/>
        <w:tabs>
          <w:tab w:val="left" w:pos="1701"/>
        </w:tabs>
        <w:rPr>
          <w:szCs w:val="22"/>
        </w:rPr>
      </w:pPr>
    </w:p>
    <w:p w14:paraId="333F0D03" w14:textId="77777777" w:rsidR="00ED367A" w:rsidRDefault="007A303B">
      <w:pPr>
        <w:pStyle w:val="Zhlav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Pomocné látky:</w:t>
      </w:r>
    </w:p>
    <w:p w14:paraId="14E302B6" w14:textId="3FA445D9" w:rsidR="00ED367A" w:rsidRDefault="007A303B">
      <w:pPr>
        <w:tabs>
          <w:tab w:val="left" w:pos="5245"/>
          <w:tab w:val="left" w:pos="5670"/>
        </w:tabs>
        <w:rPr>
          <w:szCs w:val="22"/>
        </w:rPr>
      </w:pPr>
      <w:r>
        <w:rPr>
          <w:szCs w:val="22"/>
        </w:rPr>
        <w:t>Methylparaben (E 218) 1</w:t>
      </w:r>
      <w:r w:rsidR="00273469">
        <w:rPr>
          <w:szCs w:val="22"/>
        </w:rPr>
        <w:t>,0 mg</w:t>
      </w:r>
    </w:p>
    <w:p w14:paraId="63EBB2B1" w14:textId="77777777" w:rsidR="00ED367A" w:rsidRDefault="00ED367A">
      <w:pPr>
        <w:tabs>
          <w:tab w:val="left" w:pos="5245"/>
          <w:tab w:val="left" w:pos="5670"/>
        </w:tabs>
        <w:rPr>
          <w:szCs w:val="22"/>
        </w:rPr>
      </w:pPr>
    </w:p>
    <w:p w14:paraId="1896D088" w14:textId="47FDE815" w:rsidR="00ED367A" w:rsidRDefault="007A303B">
      <w:pPr>
        <w:rPr>
          <w:szCs w:val="22"/>
        </w:rPr>
      </w:pPr>
      <w:r>
        <w:rPr>
          <w:szCs w:val="22"/>
        </w:rPr>
        <w:t>Čirý a bezbarvý vodný roztok.</w:t>
      </w:r>
    </w:p>
    <w:p w14:paraId="6CCABB22" w14:textId="77777777" w:rsidR="00ED367A" w:rsidRDefault="00ED367A">
      <w:pPr>
        <w:tabs>
          <w:tab w:val="left" w:pos="5245"/>
          <w:tab w:val="left" w:pos="5670"/>
        </w:tabs>
        <w:rPr>
          <w:szCs w:val="22"/>
        </w:rPr>
      </w:pPr>
    </w:p>
    <w:p w14:paraId="3879FD5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AF9B5EC" w14:textId="77777777" w:rsidR="00ED367A" w:rsidRDefault="007A303B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18C4F01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63C1FB0" w14:textId="77777777" w:rsidR="00ED367A" w:rsidRDefault="007A303B">
      <w:pPr>
        <w:rPr>
          <w:szCs w:val="22"/>
        </w:rPr>
      </w:pPr>
      <w:r>
        <w:rPr>
          <w:szCs w:val="22"/>
        </w:rPr>
        <w:t>Psi a kočky.</w:t>
      </w:r>
    </w:p>
    <w:p w14:paraId="5B9881A5" w14:textId="77777777" w:rsidR="00ED367A" w:rsidRDefault="00ED367A">
      <w:pPr>
        <w:rPr>
          <w:szCs w:val="22"/>
        </w:rPr>
      </w:pPr>
    </w:p>
    <w:p w14:paraId="04B28790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0075303" w14:textId="77777777" w:rsidR="00ED367A" w:rsidRDefault="007A303B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440880AB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53CED26" w14:textId="77777777" w:rsidR="00ED367A" w:rsidRDefault="007A303B">
      <w:pPr>
        <w:tabs>
          <w:tab w:val="left" w:pos="4536"/>
          <w:tab w:val="left" w:pos="5103"/>
        </w:tabs>
        <w:ind w:firstLine="12"/>
        <w:rPr>
          <w:szCs w:val="22"/>
        </w:rPr>
      </w:pPr>
      <w:r>
        <w:rPr>
          <w:szCs w:val="22"/>
        </w:rPr>
        <w:t>Atipamezol hydrochlorid je selektivní α2-antagonista indikovaný ke zrušení sedativních účinků medetomidinu nebo dexmedetomidinu u psů a koček.</w:t>
      </w:r>
    </w:p>
    <w:p w14:paraId="5D629A27" w14:textId="77777777" w:rsidR="00ED367A" w:rsidRDefault="00ED367A">
      <w:pPr>
        <w:tabs>
          <w:tab w:val="left" w:pos="4536"/>
          <w:tab w:val="left" w:pos="5103"/>
        </w:tabs>
        <w:ind w:firstLine="12"/>
        <w:rPr>
          <w:szCs w:val="22"/>
        </w:rPr>
      </w:pPr>
    </w:p>
    <w:p w14:paraId="2AC0B1B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D6EBABB" w14:textId="77777777" w:rsidR="00ED367A" w:rsidRDefault="007A303B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5BFE7E6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D4554BF" w14:textId="63EFA6CE" w:rsidR="00ED367A" w:rsidRDefault="007A303B">
      <w:pPr>
        <w:rPr>
          <w:szCs w:val="22"/>
        </w:rPr>
      </w:pPr>
      <w:r>
        <w:rPr>
          <w:szCs w:val="22"/>
        </w:rPr>
        <w:t xml:space="preserve">Nepoužívat </w:t>
      </w:r>
      <w:r w:rsidR="0058583F">
        <w:rPr>
          <w:szCs w:val="22"/>
        </w:rPr>
        <w:t xml:space="preserve">v případech </w:t>
      </w:r>
      <w:r>
        <w:rPr>
          <w:szCs w:val="22"/>
        </w:rPr>
        <w:t>přecitlivělost</w:t>
      </w:r>
      <w:r w:rsidR="001D3B48">
        <w:rPr>
          <w:szCs w:val="22"/>
        </w:rPr>
        <w:t>i</w:t>
      </w:r>
      <w:r>
        <w:rPr>
          <w:szCs w:val="22"/>
        </w:rPr>
        <w:t xml:space="preserve"> na léčivou látku nebo na některou z pomocných látek.</w:t>
      </w:r>
    </w:p>
    <w:p w14:paraId="77D0F6DB" w14:textId="77777777" w:rsidR="00ED367A" w:rsidRDefault="00ED367A">
      <w:pPr>
        <w:rPr>
          <w:szCs w:val="22"/>
        </w:rPr>
      </w:pPr>
    </w:p>
    <w:p w14:paraId="30593667" w14:textId="3F9914A3" w:rsidR="001D3B48" w:rsidRDefault="007A303B" w:rsidP="001D3B48">
      <w:pPr>
        <w:tabs>
          <w:tab w:val="clear" w:pos="567"/>
        </w:tabs>
        <w:spacing w:line="240" w:lineRule="auto"/>
      </w:pPr>
      <w:r>
        <w:rPr>
          <w:szCs w:val="22"/>
        </w:rPr>
        <w:t xml:space="preserve">Nepoužívat u chovných zvířat nebo u zvířat </w:t>
      </w:r>
      <w:r w:rsidR="001D3B48">
        <w:t xml:space="preserve">s jaterním, ledvinovým nebo srdečním onemocněním. </w:t>
      </w:r>
    </w:p>
    <w:p w14:paraId="26C408C9" w14:textId="77777777" w:rsidR="00ED367A" w:rsidRDefault="00ED367A">
      <w:pPr>
        <w:rPr>
          <w:szCs w:val="22"/>
        </w:rPr>
      </w:pPr>
    </w:p>
    <w:p w14:paraId="16D3E675" w14:textId="38DE8C30" w:rsidR="0058583F" w:rsidRDefault="0058583F" w:rsidP="0058583F">
      <w:pPr>
        <w:rPr>
          <w:b/>
          <w:bCs/>
          <w:szCs w:val="22"/>
        </w:rPr>
      </w:pPr>
      <w:r>
        <w:rPr>
          <w:szCs w:val="22"/>
        </w:rPr>
        <w:t>Viz též bod 6</w:t>
      </w:r>
      <w:r w:rsidR="001D3B48">
        <w:rPr>
          <w:szCs w:val="22"/>
        </w:rPr>
        <w:t>.</w:t>
      </w:r>
      <w:r>
        <w:rPr>
          <w:szCs w:val="22"/>
        </w:rPr>
        <w:t xml:space="preserve"> </w:t>
      </w:r>
      <w:r>
        <w:rPr>
          <w:szCs w:val="22"/>
          <w:u w:val="single"/>
        </w:rPr>
        <w:t>Březost a laktace</w:t>
      </w:r>
      <w:r>
        <w:rPr>
          <w:szCs w:val="22"/>
        </w:rPr>
        <w:t>.</w:t>
      </w:r>
    </w:p>
    <w:p w14:paraId="76F44893" w14:textId="77777777" w:rsidR="00ED367A" w:rsidRDefault="00ED367A" w:rsidP="00CE7AB3">
      <w:pPr>
        <w:rPr>
          <w:szCs w:val="22"/>
        </w:rPr>
      </w:pPr>
    </w:p>
    <w:p w14:paraId="149114D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CD9ED4D" w14:textId="77777777" w:rsidR="00ED367A" w:rsidRDefault="007A303B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6F71715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E163D05" w14:textId="53DCD7AB" w:rsidR="00ED367A" w:rsidRDefault="007A303B">
      <w:pPr>
        <w:rPr>
          <w:szCs w:val="22"/>
          <w:u w:val="single"/>
        </w:rPr>
      </w:pPr>
      <w:r>
        <w:rPr>
          <w:szCs w:val="22"/>
          <w:u w:val="single"/>
        </w:rPr>
        <w:t>Zvláštní opatření pro bezpečné použití u cílových druhů zvířat:</w:t>
      </w:r>
    </w:p>
    <w:p w14:paraId="3F5B76D1" w14:textId="002BE5C2" w:rsidR="00ED367A" w:rsidRDefault="007A303B">
      <w:pPr>
        <w:tabs>
          <w:tab w:val="left" w:pos="4536"/>
          <w:tab w:val="left" w:pos="5103"/>
        </w:tabs>
      </w:pPr>
      <w:r>
        <w:rPr>
          <w:szCs w:val="22"/>
        </w:rPr>
        <w:t xml:space="preserve">Zvířata by měla být po aplikaci </w:t>
      </w:r>
      <w:r w:rsidR="0058583F">
        <w:rPr>
          <w:szCs w:val="22"/>
        </w:rPr>
        <w:t xml:space="preserve">veterinárního léčivého </w:t>
      </w:r>
      <w:r>
        <w:rPr>
          <w:szCs w:val="22"/>
        </w:rPr>
        <w:t xml:space="preserve">přípravku umístěna na klidném místě. Během zotavování nesmí být zvířata ponechána bez dozoru. Ujistěte se, že se u zvířat obnovil běžný polykací reflex před tím, než jim nabídnete tekutiny nebo potravu. Použití tohoto veterinárního léčivého přípravku u zvířat </w:t>
      </w:r>
      <w:proofErr w:type="gramStart"/>
      <w:r>
        <w:rPr>
          <w:szCs w:val="22"/>
        </w:rPr>
        <w:t>jiných</w:t>
      </w:r>
      <w:r w:rsidR="009B7875">
        <w:rPr>
          <w:szCs w:val="22"/>
        </w:rPr>
        <w:t>,</w:t>
      </w:r>
      <w:proofErr w:type="gramEnd"/>
      <w:r>
        <w:rPr>
          <w:szCs w:val="22"/>
        </w:rPr>
        <w:t xml:space="preserve"> než označených jako cílové druhy zvířat</w:t>
      </w:r>
      <w:r w:rsidR="009B7875">
        <w:rPr>
          <w:szCs w:val="22"/>
        </w:rPr>
        <w:t>,</w:t>
      </w:r>
      <w:r>
        <w:rPr>
          <w:szCs w:val="22"/>
        </w:rPr>
        <w:t xml:space="preserve"> by mělo být obezřetné kvůli rozdílným doporučením</w:t>
      </w:r>
      <w:r w:rsidR="001D3B48">
        <w:rPr>
          <w:szCs w:val="22"/>
        </w:rPr>
        <w:t xml:space="preserve"> pro dávkování</w:t>
      </w:r>
      <w:r>
        <w:rPr>
          <w:szCs w:val="22"/>
        </w:rPr>
        <w:t>.</w:t>
      </w:r>
      <w:r w:rsidR="001D3B48">
        <w:rPr>
          <w:szCs w:val="22"/>
        </w:rPr>
        <w:t xml:space="preserve"> </w:t>
      </w:r>
      <w:r>
        <w:t>Pokud jsou podána i jiná sedativa než medetomidin nebo dexmedetomidin, je nutno vzít v úvahu, že účinek těchto látek může přetrvat po vymizení účinku α2-agonisty. Atipamezol neruší účinek ketaminu, což může způsobit záchvaty u psů a křeče u koček, pokud je použit samostatně. Nepodávejte atipamezol, pokud byl v předchozích 30-40 minutách podán ketamin.</w:t>
      </w:r>
    </w:p>
    <w:p w14:paraId="32E9FEFA" w14:textId="77777777" w:rsidR="00ED367A" w:rsidRDefault="00ED367A"/>
    <w:p w14:paraId="55E7887F" w14:textId="77777777" w:rsidR="00ED367A" w:rsidRDefault="007A303B">
      <w:pPr>
        <w:keepNext/>
        <w:rPr>
          <w:szCs w:val="22"/>
          <w:u w:val="single"/>
        </w:rPr>
      </w:pPr>
      <w:r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E6C5B83" w14:textId="59167647" w:rsidR="00ED367A" w:rsidRDefault="007A303B">
      <w:pPr>
        <w:keepNext/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 xml:space="preserve">Vzhledem k </w:t>
      </w:r>
      <w:r w:rsidR="00CC4F67">
        <w:rPr>
          <w:szCs w:val="22"/>
        </w:rPr>
        <w:t>silné</w:t>
      </w:r>
      <w:r>
        <w:rPr>
          <w:szCs w:val="22"/>
        </w:rPr>
        <w:t xml:space="preserve"> farmakologické aktivitě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 xml:space="preserve"> zabraňte kontaktu </w:t>
      </w:r>
      <w:r>
        <w:t xml:space="preserve">veterinárního léčivého </w:t>
      </w:r>
      <w:r>
        <w:rPr>
          <w:szCs w:val="22"/>
        </w:rPr>
        <w:t xml:space="preserve">přípravku s pokožkou, očima a sliznicemi. V případě náhodného kontaktu veterinárního léčivého přípravku s kůží nebo očima opláchněte zasažené místo velkým množstvím </w:t>
      </w:r>
      <w:r w:rsidR="00CC4F67">
        <w:rPr>
          <w:szCs w:val="22"/>
        </w:rPr>
        <w:t xml:space="preserve">čisté </w:t>
      </w:r>
      <w:r>
        <w:rPr>
          <w:szCs w:val="22"/>
        </w:rPr>
        <w:t>vody. Odstraňte kontaminovaný oděv, který je v přímém kontaktu s pokožkou. Pokud podráždění přetrvává, vyhledejte lékařskou pomoc.</w:t>
      </w:r>
    </w:p>
    <w:p w14:paraId="0DFF6F3C" w14:textId="01E4FD0D" w:rsidR="00ED367A" w:rsidRDefault="007A303B">
      <w:pPr>
        <w:pStyle w:val="Standard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Předcházejte náhodnému požití přípravku nebo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samopodání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injekce. V případě náhodného požití nebo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samopodání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přípravku vyhledejte ihned lékařskou pomoc a ukažte příbalovou informaci nebo etiketu praktickému lékaři. Neřiďte motorové vozidlo. Pacient nesmí zůstat bez dozoru.</w:t>
      </w:r>
    </w:p>
    <w:p w14:paraId="1B5AFE95" w14:textId="77777777" w:rsidR="00ED367A" w:rsidRDefault="00ED367A">
      <w:pPr>
        <w:pStyle w:val="Standard"/>
        <w:rPr>
          <w:rFonts w:ascii="Times New Roman" w:hAnsi="Times New Roman"/>
          <w:sz w:val="22"/>
          <w:szCs w:val="22"/>
          <w:lang w:val="cs-CZ"/>
        </w:rPr>
      </w:pPr>
    </w:p>
    <w:p w14:paraId="0CE54CEF" w14:textId="77777777" w:rsidR="00ED367A" w:rsidRDefault="007A303B">
      <w:pPr>
        <w:rPr>
          <w:szCs w:val="22"/>
          <w:u w:val="single"/>
        </w:rPr>
      </w:pPr>
      <w:r>
        <w:rPr>
          <w:szCs w:val="22"/>
          <w:u w:val="single"/>
        </w:rPr>
        <w:t>Březost a laktace:</w:t>
      </w:r>
    </w:p>
    <w:p w14:paraId="53C52625" w14:textId="48CC9A36" w:rsidR="00ED367A" w:rsidRDefault="007A303B">
      <w:pPr>
        <w:rPr>
          <w:szCs w:val="22"/>
        </w:rPr>
      </w:pPr>
      <w:r>
        <w:rPr>
          <w:szCs w:val="22"/>
        </w:rPr>
        <w:t xml:space="preserve">Bezpečnost veterinárního léčivého přípravku v průběhu březosti a laktace nebyla stanovena. Použití není doporučováno během březosti a laktace.  </w:t>
      </w:r>
    </w:p>
    <w:p w14:paraId="4D55318E" w14:textId="77777777" w:rsidR="00ED367A" w:rsidRDefault="00ED367A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85B05CD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Plodnost</w:t>
      </w:r>
      <w:r>
        <w:rPr>
          <w:szCs w:val="22"/>
        </w:rPr>
        <w:t>:</w:t>
      </w:r>
    </w:p>
    <w:p w14:paraId="36FA74EC" w14:textId="2CA587D9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 u plemenných zvířat.</w:t>
      </w:r>
    </w:p>
    <w:p w14:paraId="41644758" w14:textId="77777777" w:rsidR="00ED367A" w:rsidRDefault="00ED367A">
      <w:pPr>
        <w:rPr>
          <w:szCs w:val="22"/>
        </w:rPr>
      </w:pPr>
    </w:p>
    <w:p w14:paraId="3F11CAFE" w14:textId="77777777" w:rsidR="00ED367A" w:rsidRDefault="007A303B">
      <w:pPr>
        <w:rPr>
          <w:szCs w:val="22"/>
          <w:u w:val="single"/>
        </w:rPr>
      </w:pPr>
      <w:r>
        <w:rPr>
          <w:szCs w:val="22"/>
          <w:u w:val="single"/>
        </w:rPr>
        <w:t>Interakce s jinými léčivými přípravky a další formy interakce:</w:t>
      </w:r>
    </w:p>
    <w:p w14:paraId="28A54BD1" w14:textId="655965C6" w:rsidR="00ED367A" w:rsidRDefault="007A303B">
      <w:pPr>
        <w:pStyle w:val="Standard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Současné podávání atipamezolu s jinými centrálně působícími l</w:t>
      </w:r>
      <w:r w:rsidR="001D3B48">
        <w:rPr>
          <w:rFonts w:ascii="Times New Roman" w:hAnsi="Times New Roman"/>
          <w:sz w:val="22"/>
          <w:szCs w:val="22"/>
          <w:lang w:val="cs-CZ"/>
        </w:rPr>
        <w:t>átkami</w:t>
      </w:r>
      <w:r>
        <w:rPr>
          <w:rFonts w:ascii="Times New Roman" w:hAnsi="Times New Roman"/>
          <w:sz w:val="22"/>
          <w:szCs w:val="22"/>
          <w:lang w:val="cs-CZ"/>
        </w:rPr>
        <w:t xml:space="preserve"> jako diazepam,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acepromazin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nebo opiáty se nedoporučuje.</w:t>
      </w:r>
    </w:p>
    <w:p w14:paraId="685A46B9" w14:textId="77777777" w:rsidR="00ED367A" w:rsidRDefault="00ED367A">
      <w:pPr>
        <w:rPr>
          <w:szCs w:val="22"/>
        </w:rPr>
      </w:pPr>
    </w:p>
    <w:p w14:paraId="6A581114" w14:textId="77777777" w:rsidR="00ED367A" w:rsidRDefault="007A303B">
      <w:pPr>
        <w:rPr>
          <w:szCs w:val="22"/>
        </w:rPr>
      </w:pPr>
      <w:r>
        <w:rPr>
          <w:szCs w:val="22"/>
          <w:u w:val="single"/>
        </w:rPr>
        <w:t>Předávkování</w:t>
      </w:r>
      <w:r>
        <w:rPr>
          <w:szCs w:val="22"/>
        </w:rPr>
        <w:t>:</w:t>
      </w:r>
    </w:p>
    <w:p w14:paraId="4F941F5B" w14:textId="77777777" w:rsidR="00ED367A" w:rsidRDefault="007A303B">
      <w:pPr>
        <w:rPr>
          <w:szCs w:val="22"/>
        </w:rPr>
      </w:pPr>
      <w:r>
        <w:rPr>
          <w:szCs w:val="22"/>
        </w:rPr>
        <w:t>Předávkování atipamezol hydrochloridem může vést k přechodné tachykardii a zvýšené bdělosti (hyperaktivitě, svalovému třesu). Pokud je to nezbytné, mohou být tyto příznaky eliminovány použitím medetomidin nebo dexmedetomidin hydrochloridu v dávce, která je nižší než obvykle klinicky používaná. Pokud je atipamezol hydrochlorid náhodně podán zvířeti, které nebylo předtím léčeno medetomidin nebo dexmedetomidin hydrochloridem, může se vyskytnout hyperaktivita a svalový třes. Tyto účinky mohou přetrvávat po dobu asi 15 minut.</w:t>
      </w:r>
    </w:p>
    <w:p w14:paraId="5965AC3A" w14:textId="31A243E2" w:rsidR="00ED367A" w:rsidRDefault="007A303B">
      <w:pPr>
        <w:rPr>
          <w:szCs w:val="22"/>
        </w:rPr>
      </w:pPr>
      <w:r>
        <w:rPr>
          <w:szCs w:val="22"/>
        </w:rPr>
        <w:t>Zvýšenou bdělost u koček lze nejlépe zvládnout minimalizací vnějších podnětů.</w:t>
      </w:r>
    </w:p>
    <w:p w14:paraId="6158F175" w14:textId="77777777" w:rsidR="0058583F" w:rsidRPr="00813783" w:rsidRDefault="0058583F" w:rsidP="0058583F">
      <w:pPr>
        <w:ind w:right="-318"/>
        <w:rPr>
          <w:szCs w:val="22"/>
        </w:rPr>
      </w:pPr>
    </w:p>
    <w:p w14:paraId="0F914FB0" w14:textId="6A5395F9" w:rsidR="00ED367A" w:rsidRDefault="007A303B">
      <w:pPr>
        <w:rPr>
          <w:szCs w:val="22"/>
          <w:u w:val="single"/>
        </w:rPr>
      </w:pPr>
      <w:r>
        <w:rPr>
          <w:szCs w:val="22"/>
          <w:u w:val="single"/>
        </w:rPr>
        <w:t>Hlavní inkompatibility:</w:t>
      </w:r>
    </w:p>
    <w:p w14:paraId="54AACE34" w14:textId="77777777" w:rsidR="00ED367A" w:rsidRDefault="007A303B">
      <w:pPr>
        <w:rPr>
          <w:szCs w:val="22"/>
        </w:rPr>
      </w:pPr>
      <w:r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4C179CBB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0E480C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92C6F9D" w14:textId="77777777" w:rsidR="00ED367A" w:rsidRDefault="007A303B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58C2AB68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3698A9" w14:textId="77777777" w:rsidR="00ED367A" w:rsidRDefault="007A303B">
      <w:pPr>
        <w:tabs>
          <w:tab w:val="clear" w:pos="567"/>
        </w:tabs>
        <w:spacing w:line="240" w:lineRule="auto"/>
      </w:pPr>
      <w:r>
        <w:t>Kočky:</w:t>
      </w:r>
    </w:p>
    <w:p w14:paraId="2C8B6A1B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D367A" w14:paraId="2E3D1117" w14:textId="77777777">
        <w:tc>
          <w:tcPr>
            <w:tcW w:w="1957" w:type="pct"/>
          </w:tcPr>
          <w:p w14:paraId="7B72580F" w14:textId="1290FCEE" w:rsidR="00ED367A" w:rsidRDefault="007A303B">
            <w:pPr>
              <w:spacing w:line="240" w:lineRule="auto"/>
            </w:pPr>
            <w:r>
              <w:t>Vzácné</w:t>
            </w:r>
          </w:p>
          <w:p w14:paraId="6CA937E0" w14:textId="5F43EF2F" w:rsidR="00ED367A" w:rsidRDefault="007A303B">
            <w:pPr>
              <w:spacing w:line="240" w:lineRule="auto"/>
              <w:rPr>
                <w:szCs w:val="22"/>
              </w:rPr>
            </w:pPr>
            <w:r>
              <w:t>(1 až 10 zvířat / 10 000 ošetřených zvířat):</w:t>
            </w:r>
          </w:p>
        </w:tc>
        <w:tc>
          <w:tcPr>
            <w:tcW w:w="3043" w:type="pct"/>
            <w:hideMark/>
          </w:tcPr>
          <w:p w14:paraId="2684C68E" w14:textId="77777777" w:rsidR="0058583F" w:rsidRDefault="0058583F" w:rsidP="0058583F">
            <w:pPr>
              <w:spacing w:line="240" w:lineRule="auto"/>
            </w:pPr>
            <w:r>
              <w:t>Hyperaktivita, atypické hlasité projevy</w:t>
            </w:r>
          </w:p>
          <w:p w14:paraId="4EC2017D" w14:textId="77777777" w:rsidR="0058583F" w:rsidRDefault="0058583F" w:rsidP="0058583F">
            <w:pPr>
              <w:spacing w:line="240" w:lineRule="auto"/>
            </w:pPr>
            <w:r>
              <w:t>Tachykardie (zrychlená srdeční frekvence)</w:t>
            </w:r>
          </w:p>
          <w:p w14:paraId="03BFF254" w14:textId="77777777" w:rsidR="0058583F" w:rsidRDefault="0058583F" w:rsidP="0058583F">
            <w:pPr>
              <w:spacing w:line="240" w:lineRule="auto"/>
            </w:pPr>
            <w:r>
              <w:t>Slinění, zvracení, nekontrolovatelná defekace</w:t>
            </w:r>
          </w:p>
          <w:p w14:paraId="75C032CA" w14:textId="77777777" w:rsidR="0058583F" w:rsidRDefault="0058583F" w:rsidP="0058583F">
            <w:pPr>
              <w:spacing w:line="240" w:lineRule="auto"/>
            </w:pPr>
            <w:r>
              <w:t>Svalový třes</w:t>
            </w:r>
          </w:p>
          <w:p w14:paraId="69696B03" w14:textId="77777777" w:rsidR="0058583F" w:rsidRDefault="0058583F" w:rsidP="0058583F">
            <w:pPr>
              <w:spacing w:line="240" w:lineRule="auto"/>
            </w:pPr>
            <w:r>
              <w:t>Zvýšená dechová frekvence</w:t>
            </w:r>
          </w:p>
          <w:p w14:paraId="4BFFC533" w14:textId="0C3B4735" w:rsidR="00ED367A" w:rsidRDefault="0058583F" w:rsidP="0058583F">
            <w:pPr>
              <w:spacing w:line="240" w:lineRule="auto"/>
              <w:rPr>
                <w:iCs/>
                <w:szCs w:val="22"/>
              </w:rPr>
            </w:pPr>
            <w:r>
              <w:t>Nekontrolované močení</w:t>
            </w:r>
          </w:p>
        </w:tc>
      </w:tr>
      <w:tr w:rsidR="00ED367A" w14:paraId="2D3F9605" w14:textId="77777777">
        <w:tc>
          <w:tcPr>
            <w:tcW w:w="1957" w:type="pct"/>
          </w:tcPr>
          <w:p w14:paraId="77C577D8" w14:textId="6B86A7C5" w:rsidR="00ED367A" w:rsidRDefault="007A303B">
            <w:pPr>
              <w:spacing w:line="240" w:lineRule="auto"/>
            </w:pPr>
            <w:r>
              <w:t>Velmi vzácné</w:t>
            </w:r>
          </w:p>
          <w:p w14:paraId="6D938729" w14:textId="7F09A697" w:rsidR="00ED367A" w:rsidRDefault="007A303B">
            <w:pPr>
              <w:spacing w:line="240" w:lineRule="auto"/>
              <w:rPr>
                <w:szCs w:val="22"/>
              </w:rPr>
            </w:pPr>
            <w:r>
              <w:t>(&lt;1 zvíře / 10 000 ošetřených zvířat, včetně ojedinělých hlášení):</w:t>
            </w:r>
          </w:p>
        </w:tc>
        <w:tc>
          <w:tcPr>
            <w:tcW w:w="3043" w:type="pct"/>
          </w:tcPr>
          <w:p w14:paraId="3ADAFBFB" w14:textId="77777777" w:rsidR="0058583F" w:rsidRDefault="0058583F" w:rsidP="0058583F">
            <w:pPr>
              <w:spacing w:line="240" w:lineRule="auto"/>
              <w:rPr>
                <w:lang w:eastAsia="zh-CN"/>
              </w:rPr>
            </w:pPr>
            <w:r>
              <w:t>Hypotenze (nízký krevní tlak)</w:t>
            </w:r>
            <w:r>
              <w:rPr>
                <w:vertAlign w:val="superscript"/>
              </w:rPr>
              <w:t>1</w:t>
            </w:r>
          </w:p>
          <w:p w14:paraId="7E01A2CC" w14:textId="77777777" w:rsidR="0058583F" w:rsidRDefault="0058583F" w:rsidP="0058583F">
            <w:pPr>
              <w:spacing w:line="240" w:lineRule="auto"/>
            </w:pPr>
            <w:r>
              <w:t>Prodloužená doba sedativních účinků, prodloužená doba zotavení</w:t>
            </w:r>
          </w:p>
          <w:p w14:paraId="544319BF" w14:textId="0AD91052" w:rsidR="00ED367A" w:rsidRDefault="0058583F" w:rsidP="0058583F">
            <w:pPr>
              <w:spacing w:line="240" w:lineRule="auto"/>
              <w:rPr>
                <w:iCs/>
                <w:szCs w:val="22"/>
              </w:rPr>
            </w:pPr>
            <w:r>
              <w:t>Hypotermie (nízká tělesná teplota)</w:t>
            </w:r>
            <w:r>
              <w:rPr>
                <w:vertAlign w:val="superscript"/>
              </w:rPr>
              <w:t>2</w:t>
            </w:r>
          </w:p>
        </w:tc>
      </w:tr>
    </w:tbl>
    <w:p w14:paraId="3B60D736" w14:textId="37B31581" w:rsidR="0058583F" w:rsidRDefault="0058583F" w:rsidP="0058583F">
      <w:pPr>
        <w:tabs>
          <w:tab w:val="clear" w:pos="567"/>
        </w:tabs>
        <w:ind w:left="993" w:hanging="426"/>
      </w:pPr>
      <w:r>
        <w:t>(1)</w:t>
      </w:r>
      <w:r>
        <w:tab/>
        <w:t>Během prvních 10 minut po injekci.</w:t>
      </w:r>
    </w:p>
    <w:p w14:paraId="0D2CF5AE" w14:textId="1BB35476" w:rsidR="0058583F" w:rsidRDefault="0058583F" w:rsidP="0058583F">
      <w:pPr>
        <w:tabs>
          <w:tab w:val="clear" w:pos="567"/>
        </w:tabs>
        <w:ind w:left="993" w:hanging="426"/>
      </w:pPr>
      <w:r>
        <w:t>(2)</w:t>
      </w:r>
      <w:r>
        <w:tab/>
        <w:t>Pokud je použita nízká dávka pro částečné zrušení účinku medetomidinu nebo dexmedetomidinu, je třeba mít na paměti možnost podchlazení (i po probuzení ze sedace).</w:t>
      </w:r>
    </w:p>
    <w:p w14:paraId="2856E7E6" w14:textId="77777777" w:rsidR="00ED367A" w:rsidRDefault="00ED367A">
      <w:pPr>
        <w:rPr>
          <w:b/>
          <w:bCs/>
        </w:rPr>
      </w:pPr>
    </w:p>
    <w:p w14:paraId="290B204C" w14:textId="77777777" w:rsidR="00ED367A" w:rsidRDefault="007A303B">
      <w:r>
        <w:t>Psi:</w:t>
      </w:r>
    </w:p>
    <w:p w14:paraId="2AE2D0DD" w14:textId="77777777" w:rsidR="00ED367A" w:rsidRDefault="00ED36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D367A" w14:paraId="7F538DF5" w14:textId="77777777">
        <w:tc>
          <w:tcPr>
            <w:tcW w:w="1957" w:type="pct"/>
          </w:tcPr>
          <w:p w14:paraId="5A736C2D" w14:textId="7034B551" w:rsidR="00ED367A" w:rsidRDefault="007A303B">
            <w:pPr>
              <w:spacing w:line="240" w:lineRule="auto"/>
            </w:pPr>
            <w:r>
              <w:t>Vzácné</w:t>
            </w:r>
          </w:p>
          <w:p w14:paraId="1909D58A" w14:textId="311CDA10" w:rsidR="00ED367A" w:rsidRDefault="007A303B">
            <w:pPr>
              <w:spacing w:line="240" w:lineRule="auto"/>
              <w:rPr>
                <w:szCs w:val="22"/>
              </w:rPr>
            </w:pPr>
            <w:r>
              <w:lastRenderedPageBreak/>
              <w:t>(1 až 10 zvířat / 10 000 ošetřených zvířat):</w:t>
            </w:r>
          </w:p>
        </w:tc>
        <w:tc>
          <w:tcPr>
            <w:tcW w:w="3043" w:type="pct"/>
            <w:hideMark/>
          </w:tcPr>
          <w:p w14:paraId="180C9E8D" w14:textId="77777777" w:rsidR="0058583F" w:rsidRDefault="0058583F" w:rsidP="0058583F">
            <w:pPr>
              <w:spacing w:line="240" w:lineRule="auto"/>
            </w:pPr>
            <w:r>
              <w:lastRenderedPageBreak/>
              <w:t>Hyperaktivita, atypické hlasité projevy</w:t>
            </w:r>
          </w:p>
          <w:p w14:paraId="372B4C3C" w14:textId="77777777" w:rsidR="0058583F" w:rsidRDefault="0058583F" w:rsidP="0058583F">
            <w:pPr>
              <w:spacing w:line="240" w:lineRule="auto"/>
            </w:pPr>
            <w:r>
              <w:lastRenderedPageBreak/>
              <w:t>Tachykardie (zrychlená srdeční frekvence)</w:t>
            </w:r>
          </w:p>
          <w:p w14:paraId="13185871" w14:textId="77777777" w:rsidR="0058583F" w:rsidRDefault="0058583F" w:rsidP="0058583F">
            <w:pPr>
              <w:spacing w:line="240" w:lineRule="auto"/>
            </w:pPr>
            <w:r>
              <w:t>Slinění, zvracení, nekontrolovatelná defekace</w:t>
            </w:r>
          </w:p>
          <w:p w14:paraId="280594D5" w14:textId="77777777" w:rsidR="0058583F" w:rsidRDefault="0058583F" w:rsidP="0058583F">
            <w:pPr>
              <w:spacing w:line="240" w:lineRule="auto"/>
            </w:pPr>
            <w:r>
              <w:t>Svalový třes</w:t>
            </w:r>
          </w:p>
          <w:p w14:paraId="792B888A" w14:textId="77777777" w:rsidR="0058583F" w:rsidRDefault="0058583F" w:rsidP="0058583F">
            <w:pPr>
              <w:spacing w:line="240" w:lineRule="auto"/>
            </w:pPr>
            <w:r>
              <w:t>Zvýšená dechová frekvence</w:t>
            </w:r>
          </w:p>
          <w:p w14:paraId="3E9543B7" w14:textId="16221C2F" w:rsidR="00ED367A" w:rsidRDefault="0058583F" w:rsidP="0058583F">
            <w:pPr>
              <w:spacing w:line="240" w:lineRule="auto"/>
              <w:rPr>
                <w:iCs/>
                <w:szCs w:val="22"/>
              </w:rPr>
            </w:pPr>
            <w:r>
              <w:t>Nekontrolované močení</w:t>
            </w:r>
          </w:p>
        </w:tc>
      </w:tr>
      <w:tr w:rsidR="00ED367A" w14:paraId="6E718E4C" w14:textId="77777777">
        <w:tc>
          <w:tcPr>
            <w:tcW w:w="1957" w:type="pct"/>
          </w:tcPr>
          <w:p w14:paraId="4379DEF9" w14:textId="2EE190D5" w:rsidR="00ED367A" w:rsidRDefault="007A303B">
            <w:pPr>
              <w:spacing w:line="240" w:lineRule="auto"/>
            </w:pPr>
            <w:r>
              <w:lastRenderedPageBreak/>
              <w:t>Velmi vzácné</w:t>
            </w:r>
          </w:p>
          <w:p w14:paraId="356BD0BF" w14:textId="3048F594" w:rsidR="00ED367A" w:rsidRDefault="007A303B">
            <w:pPr>
              <w:spacing w:line="240" w:lineRule="auto"/>
              <w:rPr>
                <w:szCs w:val="22"/>
              </w:rPr>
            </w:pPr>
            <w:r>
              <w:t>(&lt;1 zvíře / 10 000 ošetřených zvířat, včetně ojedinělých hlášení):</w:t>
            </w:r>
          </w:p>
        </w:tc>
        <w:tc>
          <w:tcPr>
            <w:tcW w:w="3043" w:type="pct"/>
          </w:tcPr>
          <w:p w14:paraId="6A462E7C" w14:textId="77777777" w:rsidR="0058583F" w:rsidRDefault="0058583F" w:rsidP="0058583F">
            <w:pPr>
              <w:spacing w:line="240" w:lineRule="auto"/>
            </w:pPr>
            <w:r>
              <w:t>Hypotenze (nízký krevní tlak)</w:t>
            </w:r>
            <w:r>
              <w:rPr>
                <w:vertAlign w:val="superscript"/>
              </w:rPr>
              <w:t>1</w:t>
            </w:r>
          </w:p>
          <w:p w14:paraId="5A9DAFE3" w14:textId="217232D3" w:rsidR="00ED367A" w:rsidRDefault="0058583F" w:rsidP="0058583F">
            <w:pPr>
              <w:spacing w:line="240" w:lineRule="auto"/>
              <w:rPr>
                <w:iCs/>
                <w:szCs w:val="22"/>
              </w:rPr>
            </w:pPr>
            <w:r>
              <w:t>Prodloužená doba sedativních účinků, prodloužená doba zotavení</w:t>
            </w:r>
          </w:p>
        </w:tc>
      </w:tr>
    </w:tbl>
    <w:p w14:paraId="26EBC600" w14:textId="1DC4D5B7" w:rsidR="0058583F" w:rsidRDefault="0058583F" w:rsidP="0058583F">
      <w:pPr>
        <w:tabs>
          <w:tab w:val="clear" w:pos="567"/>
        </w:tabs>
        <w:ind w:left="1008" w:hanging="441"/>
      </w:pPr>
      <w:r>
        <w:t>(1)</w:t>
      </w:r>
      <w:r>
        <w:tab/>
        <w:t>Během prvních 10 minut po injekci.</w:t>
      </w:r>
    </w:p>
    <w:p w14:paraId="11312CE1" w14:textId="77777777" w:rsidR="00ED367A" w:rsidRDefault="00ED367A">
      <w:pPr>
        <w:tabs>
          <w:tab w:val="clear" w:pos="567"/>
        </w:tabs>
        <w:ind w:left="1008" w:hanging="441"/>
      </w:pPr>
    </w:p>
    <w:p w14:paraId="03B42F13" w14:textId="7CB61431" w:rsidR="00ED367A" w:rsidRDefault="007A303B">
      <w:pPr>
        <w:rPr>
          <w:szCs w:val="22"/>
        </w:rPr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58389B">
        <w:t>i</w:t>
      </w:r>
      <w:r>
        <w:t xml:space="preserve"> rozhodnutí o registraci nebo místní</w:t>
      </w:r>
      <w:r w:rsidR="0058389B">
        <w:t>mu</w:t>
      </w:r>
      <w:r>
        <w:t xml:space="preserve"> zástupc</w:t>
      </w:r>
      <w:r w:rsidR="0058389B">
        <w:t>i</w:t>
      </w:r>
      <w:r>
        <w:t xml:space="preserve"> držitele rozhodnutí o registraci</w:t>
      </w:r>
      <w:r w:rsidR="0058389B">
        <w:t xml:space="preserve"> </w:t>
      </w:r>
      <w:r>
        <w:t xml:space="preserve">s využitím kontaktních údajů uvedených na konci této příbalové informace nebo prostřednictvím národního systému hlášení nežádoucích účinků: </w:t>
      </w:r>
    </w:p>
    <w:p w14:paraId="19A5CEB6" w14:textId="77777777" w:rsidR="0058583F" w:rsidRPr="00A6482F" w:rsidRDefault="0058583F" w:rsidP="0058583F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08F7EDB8" w14:textId="7A3C6041" w:rsidR="0058583F" w:rsidRPr="00A6482F" w:rsidRDefault="0058583F" w:rsidP="0058583F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1D3B48">
        <w:rPr>
          <w:szCs w:val="22"/>
        </w:rPr>
        <w:t>232/</w:t>
      </w:r>
      <w:r w:rsidRPr="00A6482F">
        <w:rPr>
          <w:szCs w:val="22"/>
        </w:rPr>
        <w:t>56</w:t>
      </w:r>
      <w:r w:rsidR="0058389B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2A6757E7" w14:textId="77777777" w:rsidR="0058583F" w:rsidRPr="00A6482F" w:rsidRDefault="0058583F" w:rsidP="0058583F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59A40B43" w14:textId="7031896B" w:rsidR="0058583F" w:rsidRPr="00A6482F" w:rsidRDefault="0058389B" w:rsidP="0058583F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58583F" w:rsidRPr="00A6482F">
        <w:rPr>
          <w:szCs w:val="22"/>
        </w:rPr>
        <w:t xml:space="preserve">ail: </w:t>
      </w:r>
      <w:hyperlink r:id="rId8" w:history="1">
        <w:r w:rsidR="0058583F" w:rsidRPr="00A6482F">
          <w:rPr>
            <w:rStyle w:val="Hypertextovodkaz"/>
            <w:szCs w:val="22"/>
          </w:rPr>
          <w:t>adr@uskvbl.cz</w:t>
        </w:r>
      </w:hyperlink>
    </w:p>
    <w:p w14:paraId="0550FB16" w14:textId="77777777" w:rsidR="0058583F" w:rsidRPr="00A6482F" w:rsidRDefault="0058583F" w:rsidP="0058583F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3D7BCC02" w14:textId="7271FA8C" w:rsidR="00ED367A" w:rsidRDefault="00ED367A">
      <w:pPr>
        <w:tabs>
          <w:tab w:val="left" w:pos="-720"/>
        </w:tabs>
        <w:suppressAutoHyphens/>
        <w:rPr>
          <w:noProof/>
          <w:szCs w:val="22"/>
        </w:rPr>
      </w:pPr>
    </w:p>
    <w:p w14:paraId="514E36F3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9EFA65" w14:textId="77777777" w:rsidR="00ED367A" w:rsidRDefault="007A303B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2DF8C0A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49BBED5" w14:textId="3771C42F" w:rsidR="0058583F" w:rsidRDefault="0058583F" w:rsidP="005858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</w:t>
      </w:r>
      <w:r w:rsidR="001D3B48">
        <w:rPr>
          <w:szCs w:val="22"/>
        </w:rPr>
        <w:t>dání</w:t>
      </w:r>
      <w:r>
        <w:rPr>
          <w:szCs w:val="22"/>
        </w:rPr>
        <w:t>.</w:t>
      </w:r>
    </w:p>
    <w:p w14:paraId="2D3E97E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5558EBE" w14:textId="228011B9" w:rsidR="00ED367A" w:rsidRDefault="007A303B">
      <w:pPr>
        <w:pStyle w:val="Zkladntext"/>
        <w:jc w:val="left"/>
        <w:rPr>
          <w:szCs w:val="22"/>
        </w:rPr>
      </w:pPr>
      <w:r>
        <w:rPr>
          <w:szCs w:val="22"/>
        </w:rPr>
        <w:t>Jednorázové intramuskulární po</w:t>
      </w:r>
      <w:r w:rsidR="001D3B48">
        <w:rPr>
          <w:szCs w:val="22"/>
        </w:rPr>
        <w:t>dání</w:t>
      </w:r>
      <w:r>
        <w:rPr>
          <w:szCs w:val="22"/>
        </w:rPr>
        <w:t>. Dávka závisí na dříve podané dávce medetomidinu nebo dexmedetomidinu. Doporučuje se použití vhodně kalibrované injekční stříkačky, aby bylo zajištěno přesné dávkování při podávání malých objemů. Atipamezol je obecně podáván 15-60 minut po injekčním podání medetomidinu nebo dexmedetomidinu.</w:t>
      </w:r>
    </w:p>
    <w:p w14:paraId="4E520077" w14:textId="77777777" w:rsidR="00ED367A" w:rsidRDefault="007A303B">
      <w:pPr>
        <w:pStyle w:val="Zkladntext"/>
        <w:jc w:val="left"/>
        <w:rPr>
          <w:szCs w:val="22"/>
        </w:rPr>
      </w:pPr>
      <w:r>
        <w:t>Pro zajištění správného dávkování je třeba co nejpřesněji stanovit živou hmotnost.</w:t>
      </w:r>
    </w:p>
    <w:p w14:paraId="3AE8AF38" w14:textId="77777777" w:rsidR="00ED367A" w:rsidRDefault="00ED367A">
      <w:pPr>
        <w:rPr>
          <w:szCs w:val="22"/>
        </w:rPr>
      </w:pPr>
    </w:p>
    <w:p w14:paraId="0B96D6F5" w14:textId="5A6474B4" w:rsidR="00ED367A" w:rsidRDefault="007A303B">
      <w:pPr>
        <w:rPr>
          <w:szCs w:val="22"/>
        </w:rPr>
      </w:pPr>
      <w:r>
        <w:rPr>
          <w:szCs w:val="22"/>
          <w:u w:val="single"/>
        </w:rPr>
        <w:t>Psi:</w:t>
      </w:r>
      <w:r>
        <w:rPr>
          <w:szCs w:val="22"/>
        </w:rPr>
        <w:t xml:space="preserve"> Dávka atipamezol hydrochloridu (v µg na kg živé hmotnosti) je </w:t>
      </w:r>
      <w:r w:rsidR="001D3B48">
        <w:rPr>
          <w:szCs w:val="22"/>
        </w:rPr>
        <w:t>5krát</w:t>
      </w:r>
      <w:r>
        <w:rPr>
          <w:szCs w:val="22"/>
        </w:rPr>
        <w:t xml:space="preserve"> vyšší než předchozí dávka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1D3B48">
        <w:rPr>
          <w:szCs w:val="22"/>
        </w:rPr>
        <w:t>10krát</w:t>
      </w:r>
      <w:r>
        <w:rPr>
          <w:szCs w:val="22"/>
        </w:rPr>
        <w:t xml:space="preserve"> vyšší než dávka dexmedetomidin hydrochloridu. Vzhledem k pětinásobné koncentraci účinné látky (atipamezol hydrochlorid) v tomto veterinárním léčivém přípravku ve srovnání s přípravky obsahujícími 1 mg / ml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desetinásobné koncentraci ve srovnání s přípravky s obsahem 0,5 mg / ml dexmedetomidin hydrochloridu se podává vždy stejný objem obou přípravků.</w:t>
      </w:r>
    </w:p>
    <w:p w14:paraId="34C11FCA" w14:textId="77777777" w:rsidR="00ED367A" w:rsidRDefault="00ED367A">
      <w:pPr>
        <w:rPr>
          <w:szCs w:val="22"/>
        </w:rPr>
      </w:pPr>
    </w:p>
    <w:p w14:paraId="6FED575B" w14:textId="605D8845" w:rsidR="00ED367A" w:rsidRDefault="007A303B">
      <w:pPr>
        <w:rPr>
          <w:szCs w:val="22"/>
        </w:rPr>
      </w:pPr>
      <w:r>
        <w:rPr>
          <w:szCs w:val="22"/>
        </w:rPr>
        <w:t>Vzhledem k </w:t>
      </w:r>
      <w:r w:rsidR="001D3B48">
        <w:rPr>
          <w:szCs w:val="22"/>
        </w:rPr>
        <w:t>50krát</w:t>
      </w:r>
      <w:r>
        <w:rPr>
          <w:szCs w:val="22"/>
        </w:rPr>
        <w:t xml:space="preserve"> vyšší koncentraci účinné látky v tomto přípravku ve srovnání s přípravky obsahujícími 0,1 mg /ml </w:t>
      </w:r>
      <w:proofErr w:type="spellStart"/>
      <w:r>
        <w:rPr>
          <w:szCs w:val="22"/>
        </w:rPr>
        <w:t>dexmedetomidin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, je třeba </w:t>
      </w:r>
      <w:r w:rsidR="001D3B48">
        <w:rPr>
          <w:szCs w:val="22"/>
        </w:rPr>
        <w:t>5krát</w:t>
      </w:r>
      <w:r>
        <w:rPr>
          <w:szCs w:val="22"/>
        </w:rPr>
        <w:t xml:space="preserve"> menší objem přípravku s atipamezolem. </w:t>
      </w:r>
    </w:p>
    <w:p w14:paraId="7F3D2921" w14:textId="77777777" w:rsidR="00ED367A" w:rsidRDefault="00ED367A">
      <w:pPr>
        <w:rPr>
          <w:szCs w:val="22"/>
        </w:rPr>
      </w:pPr>
    </w:p>
    <w:p w14:paraId="685FC68E" w14:textId="77777777" w:rsidR="00ED367A" w:rsidRDefault="007A303B">
      <w:pPr>
        <w:pStyle w:val="Standard"/>
        <w:keepNext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Příklad dávkování u psů:</w:t>
      </w:r>
    </w:p>
    <w:p w14:paraId="3D512142" w14:textId="77777777" w:rsidR="00ED367A" w:rsidRDefault="00ED367A">
      <w:pPr>
        <w:keepNext/>
        <w:rPr>
          <w:lang w:eastAsia="nl-NL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4464"/>
        <w:gridCol w:w="4253"/>
      </w:tblGrid>
      <w:tr w:rsidR="00ED367A" w14:paraId="5261DB74" w14:textId="77777777">
        <w:trPr>
          <w:trHeight w:val="508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75BB7D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Medetomidin 1,0 mg/ml injekční roztok -</w:t>
            </w:r>
          </w:p>
          <w:p w14:paraId="7BA6946E" w14:textId="77777777" w:rsidR="00ED367A" w:rsidRDefault="007A303B">
            <w:pPr>
              <w:keepNext/>
              <w:rPr>
                <w:szCs w:val="22"/>
              </w:rPr>
            </w:pPr>
            <w:r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994110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Atipamezol hydrochlorid 5,0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</w:t>
            </w:r>
            <w:r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  <w:proofErr w:type="gramEnd"/>
          </w:p>
        </w:tc>
      </w:tr>
      <w:tr w:rsidR="00ED367A" w14:paraId="5A1DB11B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2CC66A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0,04 ml/kg živé hmotnosti (ž.hm.), </w:t>
            </w:r>
          </w:p>
          <w:p w14:paraId="43C478BF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40 μg/kg ž.hm. 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58FF9E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68532E22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tj.200 μg/kg ž.hm.</w:t>
            </w:r>
          </w:p>
        </w:tc>
      </w:tr>
      <w:tr w:rsidR="00ED367A" w14:paraId="6C9A729C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204215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Dexmedetomidin 0,5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940156" w14:textId="77777777" w:rsidR="00ED367A" w:rsidRDefault="007A303B">
            <w:pPr>
              <w:pStyle w:val="Standard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390414B0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2F105345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C2BC03B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357A977D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125A39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4A1BFEF1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  <w:tr w:rsidR="00ED367A" w14:paraId="633F5115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57513D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lastRenderedPageBreak/>
              <w:t xml:space="preserve">Dexmedetomidin 0,1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D45C76" w14:textId="77777777" w:rsidR="00ED367A" w:rsidRDefault="007A303B">
            <w:pPr>
              <w:pStyle w:val="Standard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7DEC09C2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2D24A0A4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168B57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0,2 ml/kg živé hmotnosti (ž.hm.),</w:t>
            </w:r>
          </w:p>
          <w:p w14:paraId="6EEC53FB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5EBA0B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7C142D8E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</w:tbl>
    <w:p w14:paraId="71337763" w14:textId="7F4195FB" w:rsidR="00ED367A" w:rsidRDefault="00ED367A">
      <w:pPr>
        <w:rPr>
          <w:szCs w:val="22"/>
          <w:u w:val="single"/>
        </w:rPr>
      </w:pPr>
    </w:p>
    <w:p w14:paraId="5E77F990" w14:textId="78852017" w:rsidR="00ED367A" w:rsidRDefault="007A303B">
      <w:pPr>
        <w:rPr>
          <w:szCs w:val="22"/>
        </w:rPr>
      </w:pPr>
      <w:r>
        <w:rPr>
          <w:szCs w:val="22"/>
          <w:u w:val="single"/>
        </w:rPr>
        <w:t>Kočky:</w:t>
      </w:r>
      <w:r>
        <w:rPr>
          <w:szCs w:val="22"/>
        </w:rPr>
        <w:t xml:space="preserve"> Dávka atipamezol hydrochloridu (v µg na kg živé hmotnosti) je </w:t>
      </w:r>
      <w:r w:rsidR="001D3B48">
        <w:rPr>
          <w:szCs w:val="22"/>
        </w:rPr>
        <w:t>2,5krát</w:t>
      </w:r>
      <w:r>
        <w:rPr>
          <w:szCs w:val="22"/>
        </w:rPr>
        <w:t xml:space="preserve"> vyšší než předchozí dávka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1D3B48">
        <w:rPr>
          <w:szCs w:val="22"/>
        </w:rPr>
        <w:t>5krát</w:t>
      </w:r>
      <w:r>
        <w:rPr>
          <w:szCs w:val="22"/>
        </w:rPr>
        <w:t xml:space="preserve"> vyšší než dávka dexmedetomidin hydrochloridu. Vzhledem k pětinásobné koncentraci účinné látky (atipamezol hydrochlorid) v </w:t>
      </w:r>
      <w:bookmarkStart w:id="0" w:name="_Hlk190677792"/>
      <w:r>
        <w:rPr>
          <w:szCs w:val="22"/>
        </w:rPr>
        <w:t xml:space="preserve">tomto </w:t>
      </w:r>
      <w:bookmarkEnd w:id="0"/>
      <w:r w:rsidR="00B810DA">
        <w:rPr>
          <w:szCs w:val="22"/>
        </w:rPr>
        <w:t xml:space="preserve">veterinárním léčivém </w:t>
      </w:r>
      <w:r>
        <w:rPr>
          <w:szCs w:val="22"/>
        </w:rPr>
        <w:t xml:space="preserve">přípravku ve srovnání s přípravky obsahujícími 1 mg / ml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desetinásobné koncentraci ve srovnání s přípravky s obsahem 0,5 mg / ml dexmedetomidin hydrochloridu se podává poloviční objem tohoto veterinárního léčivého přípravku oproti objemu medetomidinu nebo dexmedetomidinu.</w:t>
      </w:r>
    </w:p>
    <w:p w14:paraId="3BADF908" w14:textId="77777777" w:rsidR="00ED367A" w:rsidRDefault="00ED367A">
      <w:pPr>
        <w:rPr>
          <w:szCs w:val="22"/>
        </w:rPr>
      </w:pPr>
    </w:p>
    <w:p w14:paraId="1C377B14" w14:textId="5906BBE6" w:rsidR="00ED367A" w:rsidRDefault="007A303B">
      <w:pPr>
        <w:rPr>
          <w:szCs w:val="22"/>
        </w:rPr>
      </w:pPr>
      <w:r>
        <w:rPr>
          <w:szCs w:val="22"/>
        </w:rPr>
        <w:t>Vzhledem k </w:t>
      </w:r>
      <w:r w:rsidR="001D3B48">
        <w:rPr>
          <w:szCs w:val="22"/>
        </w:rPr>
        <w:t>50krát</w:t>
      </w:r>
      <w:r>
        <w:rPr>
          <w:szCs w:val="22"/>
        </w:rPr>
        <w:t xml:space="preserve"> vyšší koncentraci účinné látky v tomto </w:t>
      </w:r>
      <w:r w:rsidR="00B810DA">
        <w:rPr>
          <w:szCs w:val="22"/>
        </w:rPr>
        <w:t xml:space="preserve">veterinárním </w:t>
      </w:r>
      <w:r>
        <w:rPr>
          <w:szCs w:val="22"/>
        </w:rPr>
        <w:t xml:space="preserve">léčivém přípravku ve srovnání s přípravky obsahujícími 0,1 mg /ml </w:t>
      </w:r>
      <w:proofErr w:type="spellStart"/>
      <w:r>
        <w:rPr>
          <w:szCs w:val="22"/>
        </w:rPr>
        <w:t>dexmedetomidin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, je třeba </w:t>
      </w:r>
      <w:r w:rsidR="001D3B48">
        <w:rPr>
          <w:szCs w:val="22"/>
        </w:rPr>
        <w:t>10krát</w:t>
      </w:r>
      <w:r>
        <w:rPr>
          <w:szCs w:val="22"/>
        </w:rPr>
        <w:t xml:space="preserve"> menší objem přípravku s atipamezolem. </w:t>
      </w:r>
    </w:p>
    <w:p w14:paraId="17797992" w14:textId="77777777" w:rsidR="00ED367A" w:rsidRDefault="00ED367A">
      <w:pPr>
        <w:rPr>
          <w:dstrike/>
          <w:szCs w:val="22"/>
        </w:rPr>
      </w:pPr>
    </w:p>
    <w:p w14:paraId="2A399E92" w14:textId="77777777" w:rsidR="00ED367A" w:rsidRDefault="007A303B">
      <w:pPr>
        <w:pStyle w:val="Standard"/>
        <w:keepNext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Tabulka dávkování u koček: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ED367A" w14:paraId="4D2041F2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4E34CB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Medetomidin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1,0 mg/ml injekční roztok -</w:t>
            </w:r>
          </w:p>
          <w:p w14:paraId="434C144E" w14:textId="77777777" w:rsidR="00ED367A" w:rsidRDefault="007A303B">
            <w:pPr>
              <w:keepNext/>
              <w:rPr>
                <w:szCs w:val="22"/>
              </w:rPr>
            </w:pPr>
            <w:r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B3D5E4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062178B4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1C1E8D2E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8EAF5D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0,08 ml/kg živé hmotnosti (ž.hm.),</w:t>
            </w:r>
          </w:p>
          <w:p w14:paraId="21EA6372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80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F5CC07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6BA10A8C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  <w:tr w:rsidR="00ED367A" w14:paraId="169DEEBD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1ADBFA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Dexmedetomidine 0,5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75DD7D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34BECBD1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185CF65F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DC8C05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0,08 ml/kg živé hmotnosti (ž.hm.),</w:t>
            </w:r>
          </w:p>
          <w:p w14:paraId="7EF480F7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40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048C2E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1A826B59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200 μg/kg ž.hm. </w:t>
            </w:r>
          </w:p>
        </w:tc>
      </w:tr>
      <w:tr w:rsidR="00ED367A" w14:paraId="7EF1EE7B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1646777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Dexmedetomidine 0,1 mg/ml injekční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E2089C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51713458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4E958BBE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56CEB6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0,4 ml/kg živé hmotnosti (ž.hm.),</w:t>
            </w:r>
          </w:p>
          <w:p w14:paraId="7744D07D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40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FF4A57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4DD3BA0E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200 μg/kg ž.hm. </w:t>
            </w:r>
          </w:p>
        </w:tc>
      </w:tr>
    </w:tbl>
    <w:p w14:paraId="5A1EDE00" w14:textId="77777777" w:rsidR="00ED367A" w:rsidRDefault="00ED367A">
      <w:pPr>
        <w:keepNext/>
        <w:rPr>
          <w:szCs w:val="22"/>
        </w:rPr>
      </w:pPr>
    </w:p>
    <w:p w14:paraId="6D378801" w14:textId="77777777" w:rsidR="00ED367A" w:rsidRDefault="007A303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Doba zotavení u psů a koček je zkrácena na přibližně 5 minut. Zvířata jsou mobilní přibližně po 10 minutách po podání tohoto veterinárního léčivého přípravku.</w:t>
      </w:r>
    </w:p>
    <w:p w14:paraId="06697EAF" w14:textId="77777777" w:rsidR="00ED367A" w:rsidRDefault="00ED36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2DBDD8" w14:textId="77777777" w:rsidR="00ED367A" w:rsidRDefault="00ED36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D8B8C6" w14:textId="77777777" w:rsidR="00ED367A" w:rsidRDefault="007A303B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6E354B5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D98000E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-</w:t>
      </w:r>
    </w:p>
    <w:p w14:paraId="1B46DC73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83E692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312AC2" w14:textId="77777777" w:rsidR="00ED367A" w:rsidRDefault="007A303B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44422566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A19A7D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2AB07E7C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F1230D" w14:textId="77777777" w:rsidR="00ED367A" w:rsidRDefault="00ED36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DA98EA" w14:textId="77777777" w:rsidR="00ED367A" w:rsidRDefault="007A303B" w:rsidP="00CE7AB3">
      <w:pPr>
        <w:pStyle w:val="Style1"/>
        <w:keepNext/>
      </w:pPr>
      <w:r>
        <w:rPr>
          <w:highlight w:val="lightGray"/>
        </w:rPr>
        <w:t>11.</w:t>
      </w:r>
      <w:r>
        <w:tab/>
        <w:t>Zvláštní opatření pro uchovávání</w:t>
      </w:r>
    </w:p>
    <w:p w14:paraId="0D293821" w14:textId="77777777" w:rsidR="00ED367A" w:rsidRDefault="00ED36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5B0BDB" w14:textId="77777777" w:rsidR="00ED367A" w:rsidRDefault="007A30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1CE27713" w14:textId="77777777" w:rsidR="00ED367A" w:rsidRDefault="007A30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36FED551" w14:textId="65736B4F" w:rsidR="00ED367A" w:rsidRDefault="007A30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Nepoužívejte tento veterinární léčivý přípravek po uplynutí doby použitelnosti uvedené na etiketě a kartonové krabici po </w:t>
      </w:r>
      <w:r w:rsidR="00B810DA">
        <w:t>Exp</w:t>
      </w:r>
      <w:r>
        <w:t>. Doba použitelnosti končí posledním dnem v uvedeném měsíci.</w:t>
      </w:r>
    </w:p>
    <w:p w14:paraId="694A595B" w14:textId="77777777" w:rsidR="00ED367A" w:rsidRDefault="007A303B">
      <w:pPr>
        <w:tabs>
          <w:tab w:val="clear" w:pos="567"/>
        </w:tabs>
        <w:spacing w:line="240" w:lineRule="auto"/>
      </w:pPr>
      <w:r>
        <w:lastRenderedPageBreak/>
        <w:t>Doba použitelnosti po prvním otevření vnitřního obalu: 28 dní</w:t>
      </w:r>
    </w:p>
    <w:p w14:paraId="6452E0CE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A873C7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12878B4" w14:textId="77777777" w:rsidR="00ED367A" w:rsidRDefault="007A303B" w:rsidP="00EF0213">
      <w:pPr>
        <w:pStyle w:val="Style1"/>
        <w:keepNext/>
      </w:pPr>
      <w:r>
        <w:rPr>
          <w:highlight w:val="lightGray"/>
        </w:rPr>
        <w:t>12.</w:t>
      </w:r>
      <w:r>
        <w:tab/>
        <w:t>Zvláštní opatření pro likvidaci</w:t>
      </w:r>
    </w:p>
    <w:p w14:paraId="58AB5D71" w14:textId="77777777" w:rsidR="00ED367A" w:rsidRDefault="00ED367A" w:rsidP="00EF021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2C9FE7" w14:textId="5C2509F5" w:rsidR="00ED367A" w:rsidRDefault="007A303B" w:rsidP="00CE7AB3">
      <w:pPr>
        <w:spacing w:line="240" w:lineRule="auto"/>
      </w:pPr>
      <w:r>
        <w:t>Léčivé přípravky se nesmí likvidovat prostřednictvím odpadní vody či domovního odpadu</w:t>
      </w:r>
      <w:r w:rsidR="00EF0213">
        <w:t>.</w:t>
      </w:r>
    </w:p>
    <w:p w14:paraId="286C2854" w14:textId="77777777" w:rsidR="00B810DA" w:rsidRDefault="00B810DA" w:rsidP="00EF0213">
      <w:pPr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E520DA" w14:textId="77777777" w:rsidR="00B810DA" w:rsidRDefault="00B810DA" w:rsidP="00EF0213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5E6D5496" w14:textId="77777777" w:rsidR="00ED367A" w:rsidRDefault="00ED367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352E466" w14:textId="77777777" w:rsidR="00ED367A" w:rsidRDefault="00ED367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E10D1BB" w14:textId="77777777" w:rsidR="00ED367A" w:rsidRDefault="007A303B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264AC10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5382D3F" w14:textId="77777777" w:rsidR="00B810DA" w:rsidRDefault="00B810DA" w:rsidP="00B810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2448918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F02BBA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6E51169" w14:textId="77777777" w:rsidR="00ED367A" w:rsidRDefault="007A303B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4CD9E7F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1732F63" w14:textId="7057D39F" w:rsidR="00B810DA" w:rsidRDefault="00B810DA" w:rsidP="00B810DA">
      <w:pPr>
        <w:rPr>
          <w:szCs w:val="22"/>
        </w:rPr>
      </w:pPr>
      <w:r>
        <w:rPr>
          <w:szCs w:val="22"/>
        </w:rPr>
        <w:t>96/087/</w:t>
      </w:r>
      <w:proofErr w:type="gramStart"/>
      <w:r>
        <w:rPr>
          <w:szCs w:val="22"/>
        </w:rPr>
        <w:t>11-C</w:t>
      </w:r>
      <w:proofErr w:type="gramEnd"/>
    </w:p>
    <w:p w14:paraId="745E77D0" w14:textId="77777777" w:rsidR="00B810DA" w:rsidRDefault="00B810DA" w:rsidP="00B810DA">
      <w:pPr>
        <w:rPr>
          <w:szCs w:val="22"/>
        </w:rPr>
      </w:pPr>
    </w:p>
    <w:p w14:paraId="5EA60F68" w14:textId="13FBECED" w:rsidR="00ED367A" w:rsidRDefault="007A303B">
      <w:pPr>
        <w:rPr>
          <w:szCs w:val="22"/>
          <w:u w:val="single"/>
        </w:rPr>
      </w:pPr>
      <w:r>
        <w:rPr>
          <w:szCs w:val="22"/>
          <w:u w:val="single"/>
        </w:rPr>
        <w:t>Velikost balení:</w:t>
      </w:r>
    </w:p>
    <w:p w14:paraId="23A9E698" w14:textId="77777777" w:rsidR="00ED367A" w:rsidRDefault="007A303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Kartonová krabice s 1 lahvičkou o objemu 10 ml</w:t>
      </w:r>
    </w:p>
    <w:p w14:paraId="48001894" w14:textId="644F51CA" w:rsidR="00ED367A" w:rsidRDefault="007A303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Kartonová krabice s 5 lahvičkami po 10 ml </w:t>
      </w:r>
    </w:p>
    <w:p w14:paraId="46BBCAEB" w14:textId="77777777" w:rsidR="00ED367A" w:rsidRDefault="007A303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Kartonová krabice s 10 lahvičkami po 10 ml</w:t>
      </w:r>
    </w:p>
    <w:p w14:paraId="2D647B74" w14:textId="77777777" w:rsidR="00ED367A" w:rsidRDefault="00ED367A">
      <w:pPr>
        <w:tabs>
          <w:tab w:val="clear" w:pos="567"/>
        </w:tabs>
        <w:spacing w:line="240" w:lineRule="auto"/>
      </w:pPr>
    </w:p>
    <w:p w14:paraId="084D6040" w14:textId="77777777" w:rsidR="00ED367A" w:rsidRDefault="007A303B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1B7221F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48DB95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C0D2207" w14:textId="77777777" w:rsidR="00ED367A" w:rsidRDefault="007A303B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2EDF44B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7544CE0" w14:textId="247AE9B2" w:rsidR="009B7875" w:rsidRDefault="001D3B48">
      <w:pPr>
        <w:ind w:left="567" w:hanging="567"/>
        <w:rPr>
          <w:szCs w:val="22"/>
        </w:rPr>
      </w:pPr>
      <w:r>
        <w:rPr>
          <w:szCs w:val="22"/>
        </w:rPr>
        <w:t>06/2025</w:t>
      </w:r>
    </w:p>
    <w:p w14:paraId="74FF2286" w14:textId="77777777" w:rsidR="009B7875" w:rsidRDefault="009B7875">
      <w:pPr>
        <w:ind w:left="567" w:hanging="567"/>
        <w:rPr>
          <w:szCs w:val="22"/>
        </w:rPr>
      </w:pPr>
    </w:p>
    <w:p w14:paraId="6385D486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0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2036FA8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66BCF4D" w14:textId="77777777" w:rsidR="007A303B" w:rsidRPr="006012A4" w:rsidRDefault="007A303B" w:rsidP="007A303B">
      <w:pPr>
        <w:tabs>
          <w:tab w:val="left" w:pos="0"/>
        </w:tabs>
        <w:jc w:val="both"/>
      </w:pPr>
      <w:r w:rsidRPr="006012A4">
        <w:t>Podrobné informace o tomto veterinárním léčivém přípravku naleznete také v národní databázi (</w:t>
      </w:r>
      <w:hyperlink r:id="rId11" w:history="1">
        <w:r w:rsidRPr="006012A4">
          <w:rPr>
            <w:rStyle w:val="Hypertextovodkaz"/>
          </w:rPr>
          <w:t>https://www.uskvbl.cz</w:t>
        </w:r>
      </w:hyperlink>
      <w:r w:rsidRPr="006012A4">
        <w:t>).</w:t>
      </w:r>
    </w:p>
    <w:p w14:paraId="78363C2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3AE6A9A" w14:textId="77777777" w:rsidR="00ED367A" w:rsidRDefault="007A303B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653C65E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91DD4C3" w14:textId="77777777" w:rsidR="00ED367A" w:rsidRDefault="007A303B">
      <w:pPr>
        <w:rPr>
          <w:szCs w:val="22"/>
        </w:rPr>
      </w:pPr>
      <w:bookmarkStart w:id="1" w:name="_Hlk73552578"/>
      <w:r>
        <w:rPr>
          <w:u w:val="single"/>
        </w:rPr>
        <w:t>Držitel rozhodnutí o registraci</w:t>
      </w:r>
      <w:r>
        <w:rPr>
          <w:szCs w:val="22"/>
        </w:rPr>
        <w:t>:</w:t>
      </w:r>
    </w:p>
    <w:p w14:paraId="4D08BF8B" w14:textId="1A640D29" w:rsidR="00B810DA" w:rsidRDefault="007A303B" w:rsidP="00B810DA">
      <w:pPr>
        <w:rPr>
          <w:iCs/>
          <w:szCs w:val="22"/>
          <w:lang w:eastAsia="nl-NL"/>
        </w:rPr>
      </w:pPr>
      <w:r>
        <w:rPr>
          <w:iCs/>
          <w:szCs w:val="22"/>
        </w:rPr>
        <w:t xml:space="preserve">Laboratorios SYVA S.A., </w:t>
      </w:r>
    </w:p>
    <w:p w14:paraId="2830EAA0" w14:textId="77777777" w:rsidR="00B810DA" w:rsidRDefault="00B810DA" w:rsidP="00B810DA">
      <w:pPr>
        <w:rPr>
          <w:iCs/>
          <w:szCs w:val="22"/>
        </w:rPr>
      </w:pPr>
      <w:r>
        <w:rPr>
          <w:iCs/>
          <w:szCs w:val="22"/>
        </w:rPr>
        <w:t>Calle Marqués de la Ensenada, 16</w:t>
      </w:r>
    </w:p>
    <w:p w14:paraId="77A5B61E" w14:textId="77777777" w:rsidR="00B810DA" w:rsidRDefault="00B810DA" w:rsidP="00B810DA">
      <w:pPr>
        <w:rPr>
          <w:iCs/>
          <w:szCs w:val="22"/>
        </w:rPr>
      </w:pPr>
      <w:r>
        <w:rPr>
          <w:iCs/>
          <w:szCs w:val="22"/>
        </w:rPr>
        <w:t>28004 Madrid</w:t>
      </w:r>
    </w:p>
    <w:p w14:paraId="2B488D5E" w14:textId="77777777" w:rsidR="00B810DA" w:rsidRDefault="00B810DA" w:rsidP="00B810DA">
      <w:pPr>
        <w:rPr>
          <w:iCs/>
          <w:szCs w:val="22"/>
        </w:rPr>
      </w:pPr>
      <w:r>
        <w:rPr>
          <w:iCs/>
          <w:szCs w:val="22"/>
        </w:rPr>
        <w:t>Spain</w:t>
      </w:r>
    </w:p>
    <w:p w14:paraId="72472E7C" w14:textId="77777777" w:rsidR="00ED367A" w:rsidRDefault="00ED367A">
      <w:pPr>
        <w:rPr>
          <w:szCs w:val="22"/>
          <w:u w:val="single"/>
        </w:rPr>
      </w:pPr>
    </w:p>
    <w:p w14:paraId="2FCF360C" w14:textId="77777777" w:rsidR="00ED367A" w:rsidRDefault="007A303B">
      <w:pPr>
        <w:keepNext/>
        <w:rPr>
          <w:szCs w:val="22"/>
        </w:rPr>
      </w:pPr>
      <w:r>
        <w:rPr>
          <w:u w:val="single"/>
        </w:rPr>
        <w:t>Výrobce odpovědný za uvolnění šarže</w:t>
      </w:r>
      <w:r>
        <w:rPr>
          <w:szCs w:val="22"/>
        </w:rPr>
        <w:t xml:space="preserve">: </w:t>
      </w:r>
    </w:p>
    <w:p w14:paraId="3B592C86" w14:textId="0B5999EA" w:rsidR="00ED367A" w:rsidRDefault="007A303B">
      <w:pPr>
        <w:keepNext/>
        <w:rPr>
          <w:bCs/>
          <w:szCs w:val="22"/>
        </w:rPr>
      </w:pPr>
      <w:proofErr w:type="spellStart"/>
      <w:r>
        <w:rPr>
          <w:bCs/>
          <w:szCs w:val="22"/>
        </w:rPr>
        <w:t>Laboratorios</w:t>
      </w:r>
      <w:proofErr w:type="spellEnd"/>
      <w:r>
        <w:rPr>
          <w:bCs/>
          <w:szCs w:val="22"/>
        </w:rPr>
        <w:t xml:space="preserve"> SYVA S.A. </w:t>
      </w:r>
    </w:p>
    <w:bookmarkEnd w:id="1"/>
    <w:p w14:paraId="3ADCFC92" w14:textId="77777777" w:rsidR="00B810DA" w:rsidRDefault="00B810DA" w:rsidP="00B810DA">
      <w:pPr>
        <w:rPr>
          <w:bCs/>
          <w:szCs w:val="22"/>
        </w:rPr>
      </w:pPr>
      <w:r>
        <w:rPr>
          <w:bCs/>
          <w:szCs w:val="22"/>
        </w:rPr>
        <w:t xml:space="preserve">Avenida del Párroco Pablo Díez, 49-57 </w:t>
      </w:r>
    </w:p>
    <w:p w14:paraId="4AD23A5D" w14:textId="77777777" w:rsidR="00B810DA" w:rsidRDefault="00B810DA" w:rsidP="00B810DA">
      <w:pPr>
        <w:rPr>
          <w:bCs/>
          <w:szCs w:val="22"/>
        </w:rPr>
      </w:pPr>
      <w:r>
        <w:rPr>
          <w:bCs/>
          <w:szCs w:val="22"/>
        </w:rPr>
        <w:t xml:space="preserve">San Andrés del Rabanedo </w:t>
      </w:r>
    </w:p>
    <w:p w14:paraId="7E15ED01" w14:textId="77777777" w:rsidR="00B810DA" w:rsidRDefault="00B810DA" w:rsidP="00B810DA">
      <w:pPr>
        <w:rPr>
          <w:bCs/>
          <w:szCs w:val="22"/>
        </w:rPr>
      </w:pPr>
      <w:r>
        <w:rPr>
          <w:bCs/>
          <w:szCs w:val="22"/>
        </w:rPr>
        <w:t xml:space="preserve">24010 León </w:t>
      </w:r>
    </w:p>
    <w:p w14:paraId="2A323CCB" w14:textId="77777777" w:rsidR="00B810DA" w:rsidRDefault="00B810DA" w:rsidP="00B810DA">
      <w:pPr>
        <w:rPr>
          <w:iCs/>
          <w:szCs w:val="22"/>
        </w:rPr>
      </w:pPr>
      <w:r>
        <w:rPr>
          <w:iCs/>
          <w:szCs w:val="22"/>
        </w:rPr>
        <w:t>Spain</w:t>
      </w:r>
    </w:p>
    <w:p w14:paraId="4C84F5C9" w14:textId="77777777" w:rsidR="00ED367A" w:rsidRDefault="00ED367A">
      <w:pPr>
        <w:rPr>
          <w:bCs/>
          <w:szCs w:val="22"/>
        </w:rPr>
      </w:pPr>
    </w:p>
    <w:p w14:paraId="23D5F06B" w14:textId="77777777" w:rsidR="00ED367A" w:rsidRPr="00CE7AB3" w:rsidRDefault="007A303B">
      <w:pPr>
        <w:pStyle w:val="Style4"/>
      </w:pPr>
      <w:bookmarkStart w:id="2" w:name="_Hlk73552585"/>
      <w:r w:rsidRPr="00CE7AB3">
        <w:rPr>
          <w:u w:val="single"/>
        </w:rPr>
        <w:t>Místní zástupci</w:t>
      </w:r>
      <w:r w:rsidRPr="00B810DA">
        <w:rPr>
          <w:u w:val="single"/>
        </w:rPr>
        <w:t xml:space="preserve"> a kontaktní údaje pro hlášení podezření na nežádoucí účinky</w:t>
      </w:r>
      <w:r w:rsidRPr="00B810DA">
        <w:t>:</w:t>
      </w:r>
    </w:p>
    <w:bookmarkEnd w:id="2"/>
    <w:p w14:paraId="61750EE3" w14:textId="77777777" w:rsidR="00ED367A" w:rsidRPr="00CE7AB3" w:rsidRDefault="00ED367A">
      <w:pPr>
        <w:tabs>
          <w:tab w:val="clear" w:pos="567"/>
        </w:tabs>
        <w:spacing w:line="240" w:lineRule="auto"/>
      </w:pPr>
    </w:p>
    <w:p w14:paraId="6280ED2C" w14:textId="77777777" w:rsidR="00C07B41" w:rsidRDefault="00C07B41" w:rsidP="00C07B41">
      <w:pPr>
        <w:tabs>
          <w:tab w:val="left" w:pos="-720"/>
        </w:tabs>
        <w:suppressAutoHyphens/>
        <w:rPr>
          <w:szCs w:val="22"/>
          <w:lang w:val="da-DK"/>
        </w:rPr>
      </w:pPr>
      <w:r>
        <w:rPr>
          <w:szCs w:val="22"/>
          <w:lang w:val="da-DK"/>
        </w:rPr>
        <w:t>Vele spol. s.r.o.</w:t>
      </w:r>
    </w:p>
    <w:p w14:paraId="3E0A12A9" w14:textId="77777777" w:rsidR="00C07B41" w:rsidRDefault="00C07B41" w:rsidP="00C07B41">
      <w:pPr>
        <w:rPr>
          <w:lang w:eastAsia="en-GB"/>
        </w:rPr>
      </w:pPr>
      <w:r>
        <w:t>Ústí 88 </w:t>
      </w:r>
    </w:p>
    <w:p w14:paraId="237AA8D9" w14:textId="77777777" w:rsidR="00C07B41" w:rsidRDefault="00C07B41" w:rsidP="00C07B41">
      <w:r>
        <w:t>588 42 Větrný Jeníkov </w:t>
      </w:r>
    </w:p>
    <w:p w14:paraId="5FF6ABB9" w14:textId="77777777" w:rsidR="00C07B41" w:rsidRDefault="00C07B41" w:rsidP="00C07B41">
      <w:r>
        <w:t>Česká republika </w:t>
      </w:r>
    </w:p>
    <w:p w14:paraId="4156519C" w14:textId="77777777" w:rsidR="00CE7AB3" w:rsidRDefault="00CE7AB3" w:rsidP="00CE7AB3">
      <w:pPr>
        <w:rPr>
          <w:szCs w:val="22"/>
          <w:lang w:val="pt-BR"/>
        </w:rPr>
      </w:pPr>
      <w:r>
        <w:rPr>
          <w:szCs w:val="22"/>
          <w:lang w:val="pt-BR"/>
        </w:rPr>
        <w:t>Tel: +420 774 099 557</w:t>
      </w:r>
    </w:p>
    <w:p w14:paraId="79FB128E" w14:textId="278599F3" w:rsidR="00C07B41" w:rsidRPr="00B810DA" w:rsidRDefault="00CE7AB3" w:rsidP="00CE7AB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pt-BR"/>
        </w:rPr>
        <w:t xml:space="preserve">E-mail: </w:t>
      </w:r>
      <w:hyperlink r:id="rId12" w:history="1">
        <w:r w:rsidRPr="003431E8">
          <w:rPr>
            <w:rStyle w:val="Hypertextovodkaz"/>
            <w:szCs w:val="22"/>
            <w:lang w:val="pt-BR"/>
          </w:rPr>
          <w:t>ae@veleleciva.cz</w:t>
        </w:r>
      </w:hyperlink>
      <w:bookmarkStart w:id="3" w:name="_GoBack"/>
      <w:bookmarkEnd w:id="3"/>
    </w:p>
    <w:p w14:paraId="55538359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 w:rsidRPr="00CE7AB3">
        <w:t>Pokud chcete získat informace o tomto veterinárním léčivém přípravku, kontaktujte prosím příslušného místního zástupce držitele rozhodnutí o registraci.</w:t>
      </w:r>
    </w:p>
    <w:p w14:paraId="7FE2CECF" w14:textId="1A304496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B24E77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1D09B46" w14:textId="77777777" w:rsidR="00ED367A" w:rsidRDefault="007A303B">
      <w:pPr>
        <w:pStyle w:val="Style1"/>
      </w:pPr>
      <w:r>
        <w:t>&lt;</w:t>
      </w:r>
      <w:r>
        <w:rPr>
          <w:highlight w:val="lightGray"/>
        </w:rPr>
        <w:t>17.</w:t>
      </w:r>
      <w:r>
        <w:tab/>
        <w:t>Další informace&gt;</w:t>
      </w:r>
    </w:p>
    <w:p w14:paraId="0AE1742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D3FFE2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sectPr w:rsidR="00ED367A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08543" w14:textId="77777777" w:rsidR="00055C91" w:rsidRDefault="00055C91">
      <w:pPr>
        <w:spacing w:line="240" w:lineRule="auto"/>
      </w:pPr>
      <w:r>
        <w:separator/>
      </w:r>
    </w:p>
  </w:endnote>
  <w:endnote w:type="continuationSeparator" w:id="0">
    <w:p w14:paraId="36691DB8" w14:textId="77777777" w:rsidR="00055C91" w:rsidRDefault="00055C91">
      <w:pPr>
        <w:spacing w:line="240" w:lineRule="auto"/>
      </w:pPr>
      <w:r>
        <w:continuationSeparator/>
      </w:r>
    </w:p>
  </w:endnote>
  <w:endnote w:type="continuationNotice" w:id="1">
    <w:p w14:paraId="7041DB8F" w14:textId="77777777" w:rsidR="00055C91" w:rsidRDefault="00055C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C2B6" w14:textId="77777777" w:rsidR="00ED367A" w:rsidRDefault="007A30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21C1" w14:textId="77777777" w:rsidR="00ED367A" w:rsidRDefault="007A30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CA5CB" w14:textId="77777777" w:rsidR="00055C91" w:rsidRDefault="00055C91">
      <w:pPr>
        <w:spacing w:line="240" w:lineRule="auto"/>
      </w:pPr>
      <w:r>
        <w:separator/>
      </w:r>
    </w:p>
  </w:footnote>
  <w:footnote w:type="continuationSeparator" w:id="0">
    <w:p w14:paraId="134EE322" w14:textId="77777777" w:rsidR="00055C91" w:rsidRDefault="00055C91">
      <w:pPr>
        <w:spacing w:line="240" w:lineRule="auto"/>
      </w:pPr>
      <w:r>
        <w:continuationSeparator/>
      </w:r>
    </w:p>
  </w:footnote>
  <w:footnote w:type="continuationNotice" w:id="1">
    <w:p w14:paraId="572A3DC0" w14:textId="77777777" w:rsidR="00055C91" w:rsidRDefault="00055C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D242" w14:textId="55140E22" w:rsidR="00955089" w:rsidRDefault="00955089" w:rsidP="00955089">
    <w:r>
      <w:t xml:space="preserve">    </w:t>
    </w:r>
  </w:p>
  <w:p w14:paraId="3855CAC3" w14:textId="77777777" w:rsidR="00955089" w:rsidRDefault="009550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02CC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EE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CE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ED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27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87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0F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4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D89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CA74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6A5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E9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47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6C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2C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67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A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2F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1AE6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7C74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7A07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AE25C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BC44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85A4B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C020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1C94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B00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96EA8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0604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EAB6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A80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6A18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8EC8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FAD8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32EB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782C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34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CD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2C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C8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8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A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CA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86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23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DB07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508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4E0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42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B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F69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07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2F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6B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0102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F8CB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50BF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463A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D03F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F696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ECF9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D2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88F7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3C464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F706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C5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2B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E4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3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C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4F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C80411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E80B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38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47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63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EC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8E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2F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EA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BA61F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D0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208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2C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C6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26A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4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27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A8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3880F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8EF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4B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C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0D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22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03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43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A8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8E816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7E5A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D8B3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32E6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1CACC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FA94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02EC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A686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4447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EA34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32D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C69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2B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323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E1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01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EB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D984C8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1C8C11C" w:tentative="1">
      <w:start w:val="1"/>
      <w:numFmt w:val="lowerLetter"/>
      <w:lvlText w:val="%2."/>
      <w:lvlJc w:val="left"/>
      <w:pPr>
        <w:ind w:left="1440" w:hanging="360"/>
      </w:pPr>
    </w:lvl>
    <w:lvl w:ilvl="2" w:tplc="C1A68A28" w:tentative="1">
      <w:start w:val="1"/>
      <w:numFmt w:val="lowerRoman"/>
      <w:lvlText w:val="%3."/>
      <w:lvlJc w:val="right"/>
      <w:pPr>
        <w:ind w:left="2160" w:hanging="180"/>
      </w:pPr>
    </w:lvl>
    <w:lvl w:ilvl="3" w:tplc="89FE6218" w:tentative="1">
      <w:start w:val="1"/>
      <w:numFmt w:val="decimal"/>
      <w:lvlText w:val="%4."/>
      <w:lvlJc w:val="left"/>
      <w:pPr>
        <w:ind w:left="2880" w:hanging="360"/>
      </w:pPr>
    </w:lvl>
    <w:lvl w:ilvl="4" w:tplc="C652AE0E" w:tentative="1">
      <w:start w:val="1"/>
      <w:numFmt w:val="lowerLetter"/>
      <w:lvlText w:val="%5."/>
      <w:lvlJc w:val="left"/>
      <w:pPr>
        <w:ind w:left="3600" w:hanging="360"/>
      </w:pPr>
    </w:lvl>
    <w:lvl w:ilvl="5" w:tplc="F4FE408A" w:tentative="1">
      <w:start w:val="1"/>
      <w:numFmt w:val="lowerRoman"/>
      <w:lvlText w:val="%6."/>
      <w:lvlJc w:val="right"/>
      <w:pPr>
        <w:ind w:left="4320" w:hanging="180"/>
      </w:pPr>
    </w:lvl>
    <w:lvl w:ilvl="6" w:tplc="5A5CEC6E" w:tentative="1">
      <w:start w:val="1"/>
      <w:numFmt w:val="decimal"/>
      <w:lvlText w:val="%7."/>
      <w:lvlJc w:val="left"/>
      <w:pPr>
        <w:ind w:left="5040" w:hanging="360"/>
      </w:pPr>
    </w:lvl>
    <w:lvl w:ilvl="7" w:tplc="C1D8F2A6" w:tentative="1">
      <w:start w:val="1"/>
      <w:numFmt w:val="lowerLetter"/>
      <w:lvlText w:val="%8."/>
      <w:lvlJc w:val="left"/>
      <w:pPr>
        <w:ind w:left="5760" w:hanging="360"/>
      </w:pPr>
    </w:lvl>
    <w:lvl w:ilvl="8" w:tplc="8C700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674BE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8A5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83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341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C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508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8B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41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B63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6D2E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F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4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43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21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68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C8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49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08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3EDE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C620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8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A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C0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8B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2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A1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86EEA8">
      <w:start w:val="1"/>
      <w:numFmt w:val="decimal"/>
      <w:lvlText w:val="%1."/>
      <w:lvlJc w:val="left"/>
      <w:pPr>
        <w:ind w:left="720" w:hanging="360"/>
      </w:pPr>
    </w:lvl>
    <w:lvl w:ilvl="1" w:tplc="59EE8172" w:tentative="1">
      <w:start w:val="1"/>
      <w:numFmt w:val="lowerLetter"/>
      <w:lvlText w:val="%2."/>
      <w:lvlJc w:val="left"/>
      <w:pPr>
        <w:ind w:left="1440" w:hanging="360"/>
      </w:pPr>
    </w:lvl>
    <w:lvl w:ilvl="2" w:tplc="6D5A832A" w:tentative="1">
      <w:start w:val="1"/>
      <w:numFmt w:val="lowerRoman"/>
      <w:lvlText w:val="%3."/>
      <w:lvlJc w:val="right"/>
      <w:pPr>
        <w:ind w:left="2160" w:hanging="180"/>
      </w:pPr>
    </w:lvl>
    <w:lvl w:ilvl="3" w:tplc="8B3E44A4" w:tentative="1">
      <w:start w:val="1"/>
      <w:numFmt w:val="decimal"/>
      <w:lvlText w:val="%4."/>
      <w:lvlJc w:val="left"/>
      <w:pPr>
        <w:ind w:left="2880" w:hanging="360"/>
      </w:pPr>
    </w:lvl>
    <w:lvl w:ilvl="4" w:tplc="C492B0D2" w:tentative="1">
      <w:start w:val="1"/>
      <w:numFmt w:val="lowerLetter"/>
      <w:lvlText w:val="%5."/>
      <w:lvlJc w:val="left"/>
      <w:pPr>
        <w:ind w:left="3600" w:hanging="360"/>
      </w:pPr>
    </w:lvl>
    <w:lvl w:ilvl="5" w:tplc="EC8EAEB4" w:tentative="1">
      <w:start w:val="1"/>
      <w:numFmt w:val="lowerRoman"/>
      <w:lvlText w:val="%6."/>
      <w:lvlJc w:val="right"/>
      <w:pPr>
        <w:ind w:left="4320" w:hanging="180"/>
      </w:pPr>
    </w:lvl>
    <w:lvl w:ilvl="6" w:tplc="DA464796" w:tentative="1">
      <w:start w:val="1"/>
      <w:numFmt w:val="decimal"/>
      <w:lvlText w:val="%7."/>
      <w:lvlJc w:val="left"/>
      <w:pPr>
        <w:ind w:left="5040" w:hanging="360"/>
      </w:pPr>
    </w:lvl>
    <w:lvl w:ilvl="7" w:tplc="C6B236E2" w:tentative="1">
      <w:start w:val="1"/>
      <w:numFmt w:val="lowerLetter"/>
      <w:lvlText w:val="%8."/>
      <w:lvlJc w:val="left"/>
      <w:pPr>
        <w:ind w:left="5760" w:hanging="360"/>
      </w:pPr>
    </w:lvl>
    <w:lvl w:ilvl="8" w:tplc="F14E0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46C49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861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66A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4A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8B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63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64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BC0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ED367A"/>
    <w:rsid w:val="00055C91"/>
    <w:rsid w:val="0010376A"/>
    <w:rsid w:val="0010423D"/>
    <w:rsid w:val="00120A7F"/>
    <w:rsid w:val="001D3B48"/>
    <w:rsid w:val="00273469"/>
    <w:rsid w:val="003B62B7"/>
    <w:rsid w:val="0058389B"/>
    <w:rsid w:val="0058583F"/>
    <w:rsid w:val="005E4709"/>
    <w:rsid w:val="005F338B"/>
    <w:rsid w:val="006213AC"/>
    <w:rsid w:val="00644694"/>
    <w:rsid w:val="00697601"/>
    <w:rsid w:val="007651F6"/>
    <w:rsid w:val="007A303B"/>
    <w:rsid w:val="008153C4"/>
    <w:rsid w:val="00844C11"/>
    <w:rsid w:val="00955089"/>
    <w:rsid w:val="009B7875"/>
    <w:rsid w:val="009E5117"/>
    <w:rsid w:val="00A54D2E"/>
    <w:rsid w:val="00AE0443"/>
    <w:rsid w:val="00B810DA"/>
    <w:rsid w:val="00C07B41"/>
    <w:rsid w:val="00C25C2A"/>
    <w:rsid w:val="00C8230E"/>
    <w:rsid w:val="00CC4F67"/>
    <w:rsid w:val="00CE65E0"/>
    <w:rsid w:val="00CE7AB3"/>
    <w:rsid w:val="00D8501F"/>
    <w:rsid w:val="00ED367A"/>
    <w:rsid w:val="00EF0213"/>
    <w:rsid w:val="00F23E21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638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uiPriority w:val="99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uiPriority w:val="99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Helvetica" w:hAnsi="Helvetica"/>
      <w:lang w:eastAsia="en-US"/>
    </w:rPr>
  </w:style>
  <w:style w:type="paragraph" w:customStyle="1" w:styleId="Standard">
    <w:name w:val="Standard"/>
    <w:basedOn w:val="Normln"/>
    <w:next w:val="Normln"/>
    <w:link w:val="Standard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  <w:lang w:val="nl-NL" w:eastAsia="nl-NL"/>
    </w:rPr>
  </w:style>
  <w:style w:type="character" w:customStyle="1" w:styleId="StandardChar">
    <w:name w:val="Standard Char"/>
    <w:basedOn w:val="Standardnpsmoodstavce"/>
    <w:link w:val="Standard"/>
    <w:uiPriority w:val="99"/>
    <w:rPr>
      <w:rFonts w:ascii="Arial" w:hAnsi="Arial"/>
      <w:sz w:val="24"/>
      <w:szCs w:val="24"/>
      <w:lang w:val="nl-NL" w:eastAsia="nl-NL"/>
    </w:rPr>
  </w:style>
  <w:style w:type="paragraph" w:styleId="Normlnweb">
    <w:name w:val="Normal (Web)"/>
    <w:basedOn w:val="Normln"/>
    <w:uiPriority w:val="99"/>
    <w:semiHidden/>
    <w:unhideWhenUsed/>
    <w:rPr>
      <w:sz w:val="24"/>
      <w:szCs w:val="24"/>
    </w:rPr>
  </w:style>
  <w:style w:type="character" w:styleId="slodku">
    <w:name w:val="line number"/>
    <w:basedOn w:val="Standardnpsmoodstavce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@veleleciv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D904-4FE0-4E84-8551-65DB87DA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1686</Words>
  <Characters>9952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Alzane, INN-Atipamezole hydrochloride</vt:lpstr>
      <vt:lpstr>Alzane, INN-Atipamezole hydrochloride</vt:lpstr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Alzane, INN-Atipamezole hydrochloride</dc:title>
  <dc:subject>EPAR</dc:subject>
  <dc:creator>CVMP</dc:creator>
  <cp:keywords>Alzane, INN-Atipamezole hydrochloride</cp:keywords>
  <cp:lastModifiedBy>Neugebauerová Kateřina</cp:lastModifiedBy>
  <cp:revision>17</cp:revision>
  <cp:lastPrinted>2025-06-17T09:23:00Z</cp:lastPrinted>
  <dcterms:created xsi:type="dcterms:W3CDTF">2025-03-17T09:45:00Z</dcterms:created>
  <dcterms:modified xsi:type="dcterms:W3CDTF">2025-06-17T09:23:00Z</dcterms:modified>
</cp:coreProperties>
</file>