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CD26F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3481E316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5F19915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508AAF84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37C4293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11309A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5264FB4B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709409F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900C093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CE86C57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B91347F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C97E5C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3A55A2BC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250D1AE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188A958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22D58A76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52D943A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09C5A39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393E1EF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1F35BC2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6B7ED06B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B0E8CEF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8419499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6EEA174" w14:textId="1393882F" w:rsidR="00535973" w:rsidRPr="002230CF" w:rsidRDefault="003F7EBD" w:rsidP="00820CBA">
      <w:pPr>
        <w:pStyle w:val="Style3"/>
        <w:numPr>
          <w:ilvl w:val="0"/>
          <w:numId w:val="0"/>
        </w:numPr>
      </w:pPr>
      <w:r>
        <w:t xml:space="preserve">B. </w:t>
      </w:r>
      <w:r w:rsidR="00535973" w:rsidRPr="002230CF">
        <w:t>PŘÍBALOVÁ INFORMACE</w:t>
      </w:r>
    </w:p>
    <w:p w14:paraId="0BB499F6" w14:textId="77777777" w:rsidR="00535973" w:rsidRPr="002230CF" w:rsidRDefault="00535973" w:rsidP="00535973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2230CF">
        <w:br w:type="page"/>
      </w:r>
      <w:r w:rsidRPr="002230CF">
        <w:rPr>
          <w:b/>
          <w:szCs w:val="22"/>
        </w:rPr>
        <w:lastRenderedPageBreak/>
        <w:t>PŘÍBALOVÁ INFORMACE</w:t>
      </w:r>
    </w:p>
    <w:p w14:paraId="07B0DA38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26B03C8F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521005DA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1.</w:t>
      </w:r>
      <w:r w:rsidRPr="002230CF">
        <w:tab/>
        <w:t>Název veterinárního léčivého přípravku</w:t>
      </w:r>
    </w:p>
    <w:p w14:paraId="4BBD561C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399D48D0" w14:textId="77777777" w:rsidR="00535973" w:rsidRPr="002230CF" w:rsidRDefault="00535973" w:rsidP="00535973">
      <w:pPr>
        <w:spacing w:line="240" w:lineRule="atLeast"/>
        <w:rPr>
          <w:snapToGrid w:val="0"/>
          <w:szCs w:val="24"/>
        </w:rPr>
      </w:pPr>
      <w:bookmarkStart w:id="0" w:name="_Hlk500768365"/>
      <w:proofErr w:type="spellStart"/>
      <w:r w:rsidRPr="002230CF">
        <w:rPr>
          <w:snapToGrid w:val="0"/>
        </w:rPr>
        <w:t>Clindabactin</w:t>
      </w:r>
      <w:proofErr w:type="spellEnd"/>
      <w:r w:rsidRPr="002230CF">
        <w:rPr>
          <w:snapToGrid w:val="0"/>
        </w:rPr>
        <w:t xml:space="preserve"> 220 mg žvýkací tablety pro psy</w:t>
      </w:r>
      <w:bookmarkEnd w:id="0"/>
    </w:p>
    <w:p w14:paraId="14CE41FB" w14:textId="77777777" w:rsidR="00535973" w:rsidRPr="002230CF" w:rsidRDefault="00535973" w:rsidP="00535973">
      <w:pPr>
        <w:spacing w:line="240" w:lineRule="atLeast"/>
        <w:rPr>
          <w:snapToGrid w:val="0"/>
          <w:szCs w:val="24"/>
        </w:rPr>
      </w:pPr>
    </w:p>
    <w:p w14:paraId="47C6026A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12577A3F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2.</w:t>
      </w:r>
      <w:r w:rsidRPr="002230CF">
        <w:tab/>
        <w:t>Složení</w:t>
      </w:r>
    </w:p>
    <w:p w14:paraId="40F97F47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94B011" w14:textId="02FD94E4" w:rsidR="00535973" w:rsidRPr="002230CF" w:rsidRDefault="00A15D7B" w:rsidP="00535973">
      <w:pPr>
        <w:tabs>
          <w:tab w:val="clear" w:pos="567"/>
        </w:tabs>
        <w:spacing w:line="240" w:lineRule="auto"/>
      </w:pPr>
      <w:bookmarkStart w:id="1" w:name="_Hlk500768648"/>
      <w:r>
        <w:t>Každá</w:t>
      </w:r>
      <w:r w:rsidR="00535973" w:rsidRPr="002230CF">
        <w:t> tableta obsahuje:</w:t>
      </w:r>
    </w:p>
    <w:p w14:paraId="69335DE1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b/>
          <w:bCs/>
        </w:rPr>
      </w:pPr>
    </w:p>
    <w:p w14:paraId="72A57B8B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b/>
        </w:rPr>
      </w:pPr>
      <w:r w:rsidRPr="002230CF">
        <w:rPr>
          <w:b/>
          <w:bCs/>
        </w:rPr>
        <w:t>Léčivá látka:</w:t>
      </w:r>
    </w:p>
    <w:p w14:paraId="51817889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bookmarkStart w:id="2" w:name="_Hlk498604506"/>
      <w:proofErr w:type="spellStart"/>
      <w:r w:rsidRPr="002230CF">
        <w:t>Clindamycinum</w:t>
      </w:r>
      <w:proofErr w:type="spellEnd"/>
      <w:r w:rsidRPr="002230CF">
        <w:t xml:space="preserve"> (</w:t>
      </w:r>
      <w:proofErr w:type="spellStart"/>
      <w:r w:rsidRPr="002230CF">
        <w:t>ut</w:t>
      </w:r>
      <w:proofErr w:type="spellEnd"/>
      <w:r w:rsidRPr="002230CF">
        <w:t xml:space="preserve"> </w:t>
      </w:r>
      <w:proofErr w:type="spellStart"/>
      <w:r w:rsidRPr="002230CF">
        <w:t>clindamycini</w:t>
      </w:r>
      <w:proofErr w:type="spellEnd"/>
      <w:r w:rsidRPr="002230CF">
        <w:t xml:space="preserve"> </w:t>
      </w:r>
      <w:proofErr w:type="spellStart"/>
      <w:r w:rsidRPr="002230CF">
        <w:t>hydrochloridum</w:t>
      </w:r>
      <w:proofErr w:type="spellEnd"/>
      <w:r w:rsidRPr="002230CF">
        <w:t>)</w:t>
      </w:r>
      <w:r w:rsidRPr="002230CF">
        <w:tab/>
      </w:r>
      <w:r w:rsidRPr="002230CF">
        <w:tab/>
        <w:t>220 mg</w:t>
      </w:r>
    </w:p>
    <w:bookmarkEnd w:id="1"/>
    <w:bookmarkEnd w:id="2"/>
    <w:p w14:paraId="6EF9EF1E" w14:textId="77777777" w:rsidR="00535973" w:rsidRPr="002230CF" w:rsidRDefault="00535973" w:rsidP="00535973">
      <w:pPr>
        <w:tabs>
          <w:tab w:val="clear" w:pos="567"/>
        </w:tabs>
        <w:spacing w:line="240" w:lineRule="auto"/>
      </w:pPr>
    </w:p>
    <w:p w14:paraId="05573974" w14:textId="7EA1D8E9" w:rsidR="00535973" w:rsidRPr="002230CF" w:rsidRDefault="00535973" w:rsidP="00535973">
      <w:pPr>
        <w:tabs>
          <w:tab w:val="clear" w:pos="567"/>
        </w:tabs>
        <w:spacing w:line="240" w:lineRule="auto"/>
      </w:pPr>
      <w:bookmarkStart w:id="3" w:name="_Hlk500768757"/>
      <w:r w:rsidRPr="002230CF">
        <w:t>Světle hnědá s hnědými tečkami, kulatá a konvexní žvýkací aromatizovaná 13</w:t>
      </w:r>
      <w:r w:rsidR="00A15D7B">
        <w:t xml:space="preserve"> </w:t>
      </w:r>
      <w:r w:rsidRPr="002230CF">
        <w:t>mm tableta s vyraženou dělící rýhou ve tvaru kříže na jedné straně.</w:t>
      </w:r>
    </w:p>
    <w:p w14:paraId="7E43CBD0" w14:textId="77777777" w:rsidR="00535973" w:rsidRPr="002230CF" w:rsidRDefault="00535973" w:rsidP="00535973">
      <w:pPr>
        <w:tabs>
          <w:tab w:val="clear" w:pos="567"/>
        </w:tabs>
        <w:spacing w:line="240" w:lineRule="auto"/>
      </w:pPr>
    </w:p>
    <w:bookmarkEnd w:id="3"/>
    <w:p w14:paraId="09EEDF01" w14:textId="77777777" w:rsidR="00535973" w:rsidRPr="002230CF" w:rsidRDefault="00535973" w:rsidP="00535973">
      <w:pPr>
        <w:rPr>
          <w:szCs w:val="22"/>
        </w:rPr>
      </w:pPr>
      <w:r w:rsidRPr="002230CF">
        <w:rPr>
          <w:szCs w:val="22"/>
        </w:rPr>
        <w:t>Tablety lze rozdělit na 2 nebo 4 stejné části.</w:t>
      </w:r>
    </w:p>
    <w:p w14:paraId="2BEDE755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0D063AC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358C9560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3.</w:t>
      </w:r>
      <w:r w:rsidRPr="002230CF">
        <w:tab/>
        <w:t>Cílové druhy zvířat</w:t>
      </w:r>
    </w:p>
    <w:p w14:paraId="6D4B602F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FB5E2E2" w14:textId="77777777" w:rsidR="00535973" w:rsidRPr="002230CF" w:rsidRDefault="00535973" w:rsidP="00535973">
      <w:pPr>
        <w:spacing w:line="240" w:lineRule="atLeast"/>
        <w:rPr>
          <w:snapToGrid w:val="0"/>
        </w:rPr>
      </w:pPr>
      <w:r w:rsidRPr="002230CF">
        <w:rPr>
          <w:snapToGrid w:val="0"/>
        </w:rPr>
        <w:t>Psi.</w:t>
      </w:r>
    </w:p>
    <w:p w14:paraId="188B3ED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30F57F1D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551A554C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4.</w:t>
      </w:r>
      <w:r w:rsidRPr="002230CF">
        <w:tab/>
        <w:t>Indikace pro použití</w:t>
      </w:r>
    </w:p>
    <w:p w14:paraId="6E4735AC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3CE30B5C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 xml:space="preserve">Léčba infikovaných ran a abscesů a infekcí ústní dutiny včetně periodontálního onemocnění, vyvolaných nebo spojených se zárodky </w:t>
      </w:r>
      <w:r w:rsidRPr="002230CF">
        <w:rPr>
          <w:i/>
          <w:iCs/>
        </w:rPr>
        <w:t>Staphylococcus</w:t>
      </w:r>
      <w:r w:rsidRPr="002230CF">
        <w:t xml:space="preserve"> spp., </w:t>
      </w:r>
      <w:r w:rsidRPr="002230CF">
        <w:rPr>
          <w:i/>
          <w:iCs/>
        </w:rPr>
        <w:t>Streptococcus</w:t>
      </w:r>
      <w:r w:rsidRPr="002230CF">
        <w:t xml:space="preserve"> spp. (s výjimkou </w:t>
      </w:r>
      <w:proofErr w:type="spellStart"/>
      <w:r w:rsidRPr="002230CF">
        <w:rPr>
          <w:i/>
          <w:iCs/>
        </w:rPr>
        <w:t>Streptococcus</w:t>
      </w:r>
      <w:proofErr w:type="spellEnd"/>
      <w:r w:rsidRPr="002230CF">
        <w:rPr>
          <w:i/>
          <w:iCs/>
        </w:rPr>
        <w:t xml:space="preserve"> </w:t>
      </w:r>
      <w:proofErr w:type="spellStart"/>
      <w:r w:rsidRPr="002230CF">
        <w:rPr>
          <w:i/>
          <w:iCs/>
        </w:rPr>
        <w:t>faecalis</w:t>
      </w:r>
      <w:proofErr w:type="spellEnd"/>
      <w:r w:rsidRPr="002230CF">
        <w:t xml:space="preserve">), </w:t>
      </w:r>
      <w:proofErr w:type="spellStart"/>
      <w:r w:rsidRPr="002230CF">
        <w:rPr>
          <w:i/>
          <w:iCs/>
        </w:rPr>
        <w:t>Bacteroides</w:t>
      </w:r>
      <w:proofErr w:type="spellEnd"/>
      <w:r w:rsidRPr="002230CF">
        <w:t xml:space="preserve"> </w:t>
      </w:r>
      <w:proofErr w:type="spellStart"/>
      <w:r w:rsidRPr="002230CF">
        <w:t>spp</w:t>
      </w:r>
      <w:proofErr w:type="spellEnd"/>
      <w:r w:rsidRPr="002230CF">
        <w:t xml:space="preserve">., </w:t>
      </w:r>
      <w:r w:rsidRPr="002230CF">
        <w:rPr>
          <w:i/>
          <w:iCs/>
        </w:rPr>
        <w:t>Fusobacterium necrophorum</w:t>
      </w:r>
      <w:r w:rsidRPr="002230CF">
        <w:t xml:space="preserve"> a </w:t>
      </w:r>
      <w:r w:rsidRPr="002230CF">
        <w:rPr>
          <w:i/>
          <w:iCs/>
        </w:rPr>
        <w:t xml:space="preserve">Clostridium </w:t>
      </w:r>
      <w:proofErr w:type="spellStart"/>
      <w:r w:rsidRPr="002230CF">
        <w:rPr>
          <w:i/>
          <w:iCs/>
        </w:rPr>
        <w:t>perfringens</w:t>
      </w:r>
      <w:proofErr w:type="spellEnd"/>
      <w:r w:rsidRPr="002230CF">
        <w:t xml:space="preserve"> citlivými ke </w:t>
      </w:r>
      <w:proofErr w:type="spellStart"/>
      <w:r w:rsidRPr="002230CF">
        <w:t>klindamycinu</w:t>
      </w:r>
      <w:proofErr w:type="spellEnd"/>
      <w:r w:rsidRPr="002230CF">
        <w:t>.</w:t>
      </w:r>
    </w:p>
    <w:p w14:paraId="6D379645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 xml:space="preserve">Léčba povrchové pyodermie spojené se zárodky </w:t>
      </w:r>
      <w:r w:rsidRPr="002230CF">
        <w:rPr>
          <w:i/>
          <w:iCs/>
        </w:rPr>
        <w:t xml:space="preserve">Staphylococcus </w:t>
      </w:r>
      <w:proofErr w:type="spellStart"/>
      <w:r w:rsidRPr="002230CF">
        <w:rPr>
          <w:i/>
          <w:iCs/>
        </w:rPr>
        <w:t>pseudintermedius</w:t>
      </w:r>
      <w:proofErr w:type="spellEnd"/>
      <w:r w:rsidRPr="002230CF">
        <w:rPr>
          <w:i/>
          <w:iCs/>
        </w:rPr>
        <w:t xml:space="preserve"> </w:t>
      </w:r>
      <w:r w:rsidRPr="002230CF">
        <w:t xml:space="preserve">citlivými ke </w:t>
      </w:r>
      <w:proofErr w:type="spellStart"/>
      <w:r w:rsidRPr="002230CF">
        <w:t>klindamycinu</w:t>
      </w:r>
      <w:proofErr w:type="spellEnd"/>
      <w:r w:rsidRPr="002230CF">
        <w:t>.</w:t>
      </w:r>
    </w:p>
    <w:p w14:paraId="088CCAB5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 xml:space="preserve">Léčba osteomyelitidy vyvolané zárodky </w:t>
      </w:r>
      <w:r w:rsidRPr="002230CF">
        <w:rPr>
          <w:i/>
          <w:iCs/>
        </w:rPr>
        <w:t xml:space="preserve">Staphylococcus aureus </w:t>
      </w:r>
      <w:r w:rsidRPr="002230CF">
        <w:t xml:space="preserve">citlivými ke </w:t>
      </w:r>
      <w:proofErr w:type="spellStart"/>
      <w:r w:rsidRPr="002230CF">
        <w:t>klindamycinu</w:t>
      </w:r>
      <w:proofErr w:type="spellEnd"/>
      <w:r w:rsidRPr="002230CF">
        <w:t>.</w:t>
      </w:r>
    </w:p>
    <w:p w14:paraId="1C493C2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40945E35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16EEF524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5.</w:t>
      </w:r>
      <w:r w:rsidRPr="002230CF">
        <w:tab/>
        <w:t>Kontraindikace</w:t>
      </w:r>
    </w:p>
    <w:p w14:paraId="683F3068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5B30E6D0" w14:textId="7DE0245B" w:rsidR="00535973" w:rsidRPr="002230CF" w:rsidRDefault="00535973" w:rsidP="00535973">
      <w:pPr>
        <w:spacing w:line="240" w:lineRule="auto"/>
      </w:pPr>
      <w:r w:rsidRPr="002230CF">
        <w:t>Nepoužívat v</w:t>
      </w:r>
      <w:r>
        <w:t> </w:t>
      </w:r>
      <w:r w:rsidRPr="002230CF">
        <w:t>případech přecitlivělosti na léčivou látku nebo na některou z</w:t>
      </w:r>
      <w:r>
        <w:t> </w:t>
      </w:r>
      <w:r w:rsidRPr="002230CF">
        <w:t xml:space="preserve">pomocných látek nebo na </w:t>
      </w:r>
      <w:proofErr w:type="spellStart"/>
      <w:r w:rsidRPr="002230CF">
        <w:t>linkomycin</w:t>
      </w:r>
      <w:proofErr w:type="spellEnd"/>
      <w:r w:rsidRPr="002230CF">
        <w:t>. Nepodávat králíkům, křečkům, morčatům, činčilám, koním a přežvýkavcům, protože po</w:t>
      </w:r>
      <w:r w:rsidR="00095B7A">
        <w:t>u</w:t>
      </w:r>
      <w:r w:rsidRPr="002230CF">
        <w:t xml:space="preserve">žití </w:t>
      </w:r>
      <w:proofErr w:type="spellStart"/>
      <w:r w:rsidRPr="002230CF">
        <w:t>klindamycinu</w:t>
      </w:r>
      <w:proofErr w:type="spellEnd"/>
      <w:r w:rsidRPr="002230CF">
        <w:t xml:space="preserve"> u těchto druhů může mít za následek závažné gastrointestinální po</w:t>
      </w:r>
      <w:r w:rsidR="00095B7A">
        <w:t>tíže</w:t>
      </w:r>
      <w:r w:rsidRPr="002230CF">
        <w:t>, které mohou vést k úhynu.</w:t>
      </w:r>
    </w:p>
    <w:p w14:paraId="7E139C04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51553937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4D80E53F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6.</w:t>
      </w:r>
      <w:r w:rsidRPr="002230CF">
        <w:tab/>
        <w:t>Zvláštní upozornění</w:t>
      </w:r>
    </w:p>
    <w:p w14:paraId="64E77BCC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1F85401D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  <w:u w:val="single"/>
        </w:rPr>
        <w:t>Zvláštní opatření pro bezpečné použití u cílových druhů zvířat</w:t>
      </w:r>
      <w:r w:rsidRPr="002230CF">
        <w:t>:</w:t>
      </w:r>
    </w:p>
    <w:p w14:paraId="55F96DCD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bookmarkStart w:id="4" w:name="_Hlk499633207"/>
      <w:bookmarkStart w:id="5" w:name="_Hlk499815212"/>
      <w:r w:rsidRPr="002230CF">
        <w:t>Žvýkací tablety jsou ochuceny. Tablety uchovávejte mimo dosah zvířat, aby nedošlo k náhodnému požití.</w:t>
      </w:r>
    </w:p>
    <w:p w14:paraId="5CF6466F" w14:textId="77777777" w:rsidR="00535973" w:rsidRPr="002230CF" w:rsidRDefault="00535973" w:rsidP="00535973">
      <w:pPr>
        <w:tabs>
          <w:tab w:val="clear" w:pos="567"/>
        </w:tabs>
        <w:spacing w:line="240" w:lineRule="auto"/>
      </w:pPr>
    </w:p>
    <w:p w14:paraId="6EF8FEEA" w14:textId="3A5A16DC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>Veterinární léčivý přípravek by měl být používán na základě výsledku stanovení citlivosti cílov</w:t>
      </w:r>
      <w:r w:rsidR="00095B7A">
        <w:t>é/</w:t>
      </w:r>
      <w:proofErr w:type="spellStart"/>
      <w:r w:rsidRPr="002230CF">
        <w:t>ých</w:t>
      </w:r>
      <w:proofErr w:type="spellEnd"/>
      <w:r w:rsidRPr="002230CF">
        <w:t xml:space="preserve"> bakteri</w:t>
      </w:r>
      <w:r w:rsidR="00095B7A">
        <w:t>e/</w:t>
      </w:r>
      <w:r w:rsidRPr="002230CF">
        <w:t>í izolovan</w:t>
      </w:r>
      <w:r w:rsidR="00095B7A">
        <w:t>é/</w:t>
      </w:r>
      <w:proofErr w:type="spellStart"/>
      <w:r w:rsidRPr="002230CF">
        <w:t>ých</w:t>
      </w:r>
      <w:proofErr w:type="spellEnd"/>
      <w:r w:rsidRPr="002230CF">
        <w:t xml:space="preserve"> ze zvířete. Pokud to není možné, léčba by měla být založena na základě místní </w:t>
      </w:r>
      <w:proofErr w:type="spellStart"/>
      <w:r w:rsidRPr="002230CF">
        <w:t>epi</w:t>
      </w:r>
      <w:r w:rsidR="00095B7A">
        <w:t>zooto</w:t>
      </w:r>
      <w:r w:rsidRPr="002230CF">
        <w:t>logické</w:t>
      </w:r>
      <w:proofErr w:type="spellEnd"/>
      <w:r w:rsidRPr="002230CF">
        <w:t xml:space="preserve"> informace a znalostech citlivosti cílových patogenů na místní/regionální úrovni.</w:t>
      </w:r>
    </w:p>
    <w:p w14:paraId="61585B1B" w14:textId="77777777" w:rsidR="00535973" w:rsidRPr="002230CF" w:rsidRDefault="00535973" w:rsidP="00535973">
      <w:pPr>
        <w:tabs>
          <w:tab w:val="clear" w:pos="567"/>
        </w:tabs>
        <w:spacing w:line="240" w:lineRule="auto"/>
      </w:pPr>
    </w:p>
    <w:p w14:paraId="4451D417" w14:textId="3A716E81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lastRenderedPageBreak/>
        <w:t>Veterinární léčivý přípravek by měl být používán v souladu s oficiálními, celostátními a místními pravidly antibiotické politiky.</w:t>
      </w:r>
    </w:p>
    <w:p w14:paraId="12424B2E" w14:textId="2CA918A5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 xml:space="preserve">Použití veterinárního léčivého přípravku, které je odlišné od pokynů uvedených v této příbalové informaci, může zvýšit prevalenci bakterií rezistentních </w:t>
      </w:r>
      <w:r w:rsidR="00095B7A">
        <w:t>vůči</w:t>
      </w:r>
      <w:r w:rsidRPr="002230CF">
        <w:t xml:space="preserve"> </w:t>
      </w:r>
      <w:proofErr w:type="spellStart"/>
      <w:r w:rsidRPr="002230CF">
        <w:t>klindamycin</w:t>
      </w:r>
      <w:r w:rsidR="00095B7A">
        <w:t>u</w:t>
      </w:r>
      <w:proofErr w:type="spellEnd"/>
      <w:r w:rsidRPr="002230CF">
        <w:t xml:space="preserve"> a snížit účinnost léčby </w:t>
      </w:r>
      <w:proofErr w:type="spellStart"/>
      <w:r w:rsidRPr="002230CF">
        <w:t>linkomycinem</w:t>
      </w:r>
      <w:proofErr w:type="spellEnd"/>
      <w:r w:rsidRPr="002230CF">
        <w:t xml:space="preserve"> nebo </w:t>
      </w:r>
      <w:proofErr w:type="spellStart"/>
      <w:r w:rsidRPr="002230CF">
        <w:t>antimikrobiky</w:t>
      </w:r>
      <w:proofErr w:type="spellEnd"/>
      <w:r w:rsidRPr="002230CF">
        <w:t xml:space="preserve"> ze skupiny makrolidů z důvodů možné zkřížené rezistence.</w:t>
      </w:r>
    </w:p>
    <w:p w14:paraId="144ADF82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color w:val="000000" w:themeColor="text1"/>
        </w:rPr>
      </w:pPr>
    </w:p>
    <w:bookmarkEnd w:id="4"/>
    <w:p w14:paraId="176D2FC2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 xml:space="preserve">Zkřížená rezistence byla prokázána mezi </w:t>
      </w:r>
      <w:proofErr w:type="spellStart"/>
      <w:r w:rsidRPr="002230CF">
        <w:t>linkosamidy</w:t>
      </w:r>
      <w:proofErr w:type="spellEnd"/>
      <w:r w:rsidRPr="002230CF">
        <w:t xml:space="preserve"> (včetně </w:t>
      </w:r>
      <w:proofErr w:type="spellStart"/>
      <w:r w:rsidRPr="002230CF">
        <w:t>klindamycinu</w:t>
      </w:r>
      <w:proofErr w:type="spellEnd"/>
      <w:r w:rsidRPr="002230CF">
        <w:t xml:space="preserve">), </w:t>
      </w:r>
      <w:proofErr w:type="spellStart"/>
      <w:r w:rsidRPr="002230CF">
        <w:t>erythromycinem</w:t>
      </w:r>
      <w:proofErr w:type="spellEnd"/>
      <w:r w:rsidRPr="002230CF">
        <w:t xml:space="preserve"> a jinými </w:t>
      </w:r>
      <w:proofErr w:type="spellStart"/>
      <w:r w:rsidRPr="002230CF">
        <w:t>makrolidovými</w:t>
      </w:r>
      <w:proofErr w:type="spellEnd"/>
      <w:r w:rsidRPr="002230CF">
        <w:t xml:space="preserve"> antibiotiky.</w:t>
      </w:r>
    </w:p>
    <w:p w14:paraId="52CDDB6D" w14:textId="77777777" w:rsidR="00535973" w:rsidRPr="002230CF" w:rsidRDefault="00535973" w:rsidP="00535973">
      <w:pPr>
        <w:tabs>
          <w:tab w:val="clear" w:pos="567"/>
        </w:tabs>
        <w:spacing w:line="240" w:lineRule="auto"/>
      </w:pPr>
    </w:p>
    <w:p w14:paraId="3E67B60C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color w:val="000000" w:themeColor="text1"/>
        </w:rPr>
      </w:pPr>
      <w:bookmarkStart w:id="6" w:name="_Hlk535486567"/>
      <w:r w:rsidRPr="002230CF">
        <w:rPr>
          <w:color w:val="000000" w:themeColor="text1"/>
        </w:rPr>
        <w:t>V některých případech (lokalizované nebo mírné léze, pro prevenci recidivy) může být povrchová pyodermie léčena povrchově. Potřeba a doba trvání systémové antimikrobiální léčby by měla být založena na pečlivém zvážení jednotlivých případů.</w:t>
      </w:r>
    </w:p>
    <w:bookmarkEnd w:id="6"/>
    <w:p w14:paraId="2BBFAED8" w14:textId="77777777" w:rsidR="00535973" w:rsidRPr="002230CF" w:rsidRDefault="00535973" w:rsidP="00535973">
      <w:pPr>
        <w:tabs>
          <w:tab w:val="clear" w:pos="567"/>
        </w:tabs>
        <w:spacing w:line="240" w:lineRule="auto"/>
      </w:pPr>
    </w:p>
    <w:p w14:paraId="73A36F0E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>Během dlouhodobé léčby trvající jeden měsíc nebo déle by měly být pravidelně prováděny testy funkce jater a ledvin a krevní obraz.</w:t>
      </w:r>
    </w:p>
    <w:p w14:paraId="5FE85D14" w14:textId="77777777" w:rsidR="00535973" w:rsidRPr="002230CF" w:rsidRDefault="00535973" w:rsidP="00535973">
      <w:pPr>
        <w:tabs>
          <w:tab w:val="clear" w:pos="567"/>
        </w:tabs>
        <w:spacing w:line="240" w:lineRule="auto"/>
      </w:pPr>
    </w:p>
    <w:p w14:paraId="70479ECE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 xml:space="preserve">U zvířat s těžkými poruchami funkce ledvin nebo velmi závažnými poruchami funkce jater doprovázenými závažnými změnami v metabolismu je třeba zvlášť opatrně zvažovat dávkování přípravku a v případě použití režimu s vysokou dávkou </w:t>
      </w:r>
      <w:proofErr w:type="spellStart"/>
      <w:r w:rsidRPr="002230CF">
        <w:t>klindamycinu</w:t>
      </w:r>
      <w:proofErr w:type="spellEnd"/>
      <w:r w:rsidRPr="002230CF">
        <w:t xml:space="preserve"> musí být monitorován stav zvířat biochemickým vyšetřením krevního séra.</w:t>
      </w:r>
    </w:p>
    <w:bookmarkEnd w:id="5"/>
    <w:p w14:paraId="06A43D2D" w14:textId="77777777" w:rsidR="00535973" w:rsidRPr="002230CF" w:rsidRDefault="00535973" w:rsidP="00535973">
      <w:pPr>
        <w:spacing w:line="240" w:lineRule="atLeast"/>
        <w:outlineLvl w:val="0"/>
        <w:rPr>
          <w:rFonts w:cs="Arial"/>
          <w:snapToGrid w:val="0"/>
          <w:szCs w:val="24"/>
        </w:rPr>
      </w:pPr>
    </w:p>
    <w:p w14:paraId="65CB9008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>Použití veterinárního léčivého přípravku se nedoporučuje u novorozených mláďat.</w:t>
      </w:r>
    </w:p>
    <w:p w14:paraId="4D6174F2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2ED0534A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  <w:u w:val="single"/>
        </w:rPr>
        <w:t>Zvláštní opatření pro osobu, která podává veterinární léčivý přípravek zvířatům</w:t>
      </w:r>
      <w:r w:rsidRPr="002230CF">
        <w:t>:</w:t>
      </w:r>
    </w:p>
    <w:p w14:paraId="0917FC87" w14:textId="77777777" w:rsidR="00535973" w:rsidRPr="002230CF" w:rsidRDefault="00535973" w:rsidP="00535973">
      <w:bookmarkStart w:id="7" w:name="OLE_LINK1"/>
      <w:bookmarkStart w:id="8" w:name="OLE_LINK2"/>
      <w:proofErr w:type="spellStart"/>
      <w:r w:rsidRPr="002230CF">
        <w:t>Linkosamidy</w:t>
      </w:r>
      <w:proofErr w:type="spellEnd"/>
      <w:r w:rsidRPr="002230CF">
        <w:t xml:space="preserve"> (</w:t>
      </w:r>
      <w:proofErr w:type="spellStart"/>
      <w:r w:rsidRPr="002230CF">
        <w:t>linkomycin</w:t>
      </w:r>
      <w:proofErr w:type="spellEnd"/>
      <w:r w:rsidRPr="002230CF">
        <w:t xml:space="preserve">, </w:t>
      </w:r>
      <w:proofErr w:type="spellStart"/>
      <w:r w:rsidRPr="002230CF">
        <w:t>klindamycin</w:t>
      </w:r>
      <w:proofErr w:type="spellEnd"/>
      <w:r w:rsidRPr="002230CF">
        <w:t xml:space="preserve">, </w:t>
      </w:r>
      <w:proofErr w:type="spellStart"/>
      <w:r w:rsidRPr="002230CF">
        <w:t>pirlimycin</w:t>
      </w:r>
      <w:proofErr w:type="spellEnd"/>
      <w:r w:rsidRPr="002230CF">
        <w:t>) mohou vyvolat reakce přecitlivělosti (alergie). Lidé se známou přecitlivělostí na linkosamidy by se měli vyhnout kontaktu s veterinárním léčivým přípravkem.</w:t>
      </w:r>
    </w:p>
    <w:p w14:paraId="783F74D2" w14:textId="77777777" w:rsidR="00535973" w:rsidRPr="002230CF" w:rsidRDefault="00535973" w:rsidP="00535973">
      <w:r w:rsidRPr="002230CF">
        <w:t>Po manipulaci s tabletami si umyjte ruce.</w:t>
      </w:r>
    </w:p>
    <w:p w14:paraId="35719BD1" w14:textId="77777777" w:rsidR="00535973" w:rsidRPr="002230CF" w:rsidRDefault="00535973" w:rsidP="00535973">
      <w:r w:rsidRPr="002230CF">
        <w:t>Náhodné požití může způsobit gastrointestinální potíže, jako je bolest břicha a průjem. Zabraňte náhodnému požití.</w:t>
      </w:r>
    </w:p>
    <w:p w14:paraId="627380C2" w14:textId="77777777" w:rsidR="00535973" w:rsidRPr="002230CF" w:rsidRDefault="00535973" w:rsidP="00535973">
      <w:bookmarkStart w:id="9" w:name="_Hlk518559664"/>
      <w:r w:rsidRPr="002230CF">
        <w:t xml:space="preserve">Z důvodu snížení rizika náhodného požití dětmi, nevyndávejte tablety z blistru před vlastním podáním zvířeti. Nepoužité části tablet vraťte do blistru a </w:t>
      </w:r>
      <w:bookmarkStart w:id="10" w:name="_Hlk522180554"/>
      <w:r w:rsidRPr="002230CF">
        <w:t>krabičky</w:t>
      </w:r>
      <w:bookmarkStart w:id="11" w:name="_Hlk522182410"/>
      <w:r w:rsidRPr="002230CF">
        <w:t xml:space="preserve"> a použijte při následném podání.</w:t>
      </w:r>
      <w:bookmarkEnd w:id="10"/>
      <w:bookmarkEnd w:id="11"/>
    </w:p>
    <w:bookmarkEnd w:id="9"/>
    <w:p w14:paraId="041F7888" w14:textId="77777777" w:rsidR="00535973" w:rsidRPr="002230CF" w:rsidRDefault="00535973" w:rsidP="00535973">
      <w:r w:rsidRPr="002230CF">
        <w:t>V případě náhodného požití, zejména dítětem, vyhledejte ihned lékařskou pomoc a ukažte příbalovou informaci nebo etiketu praktickému lékaři.</w:t>
      </w:r>
    </w:p>
    <w:p w14:paraId="465FBC04" w14:textId="77777777" w:rsidR="00535973" w:rsidRPr="002230CF" w:rsidRDefault="00535973" w:rsidP="00535973">
      <w:pPr>
        <w:spacing w:line="240" w:lineRule="auto"/>
      </w:pPr>
    </w:p>
    <w:bookmarkEnd w:id="7"/>
    <w:bookmarkEnd w:id="8"/>
    <w:p w14:paraId="61BCD1A6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  <w:u w:val="single"/>
        </w:rPr>
        <w:t>Březost a laktace</w:t>
      </w:r>
      <w:r w:rsidRPr="002230CF">
        <w:t>:</w:t>
      </w:r>
    </w:p>
    <w:p w14:paraId="23C3B23C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bookmarkStart w:id="12" w:name="_Hlk499815321"/>
      <w:bookmarkStart w:id="13" w:name="_Hlk499815487"/>
      <w:r w:rsidRPr="002230CF">
        <w:t xml:space="preserve">Zatímco studie s vysokými dávkami u potkanů naznačují, že </w:t>
      </w:r>
      <w:proofErr w:type="spellStart"/>
      <w:r w:rsidRPr="002230CF">
        <w:t>klindamycin</w:t>
      </w:r>
      <w:proofErr w:type="spellEnd"/>
      <w:r w:rsidRPr="002230CF">
        <w:t xml:space="preserve"> nemá teratogenní účinky a ani nemá významný vliv na reprodukci u samců a samic, bezpečnost u březích fen nebo chovných psů nebyla stanovena.</w:t>
      </w:r>
    </w:p>
    <w:bookmarkEnd w:id="12"/>
    <w:p w14:paraId="259974FA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proofErr w:type="spellStart"/>
      <w:r w:rsidRPr="002230CF">
        <w:t>Klindamycin</w:t>
      </w:r>
      <w:proofErr w:type="spellEnd"/>
      <w:r w:rsidRPr="002230CF">
        <w:t xml:space="preserve"> prostupuje placentární bariérou a prostupuje do mléka.</w:t>
      </w:r>
    </w:p>
    <w:p w14:paraId="0B2951BF" w14:textId="35F61EFB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 xml:space="preserve">Léčba </w:t>
      </w:r>
      <w:proofErr w:type="spellStart"/>
      <w:r w:rsidRPr="002230CF">
        <w:t>laktujících</w:t>
      </w:r>
      <w:proofErr w:type="spellEnd"/>
      <w:r w:rsidRPr="002230CF">
        <w:t xml:space="preserve"> </w:t>
      </w:r>
      <w:r w:rsidR="00095B7A">
        <w:t xml:space="preserve">fen </w:t>
      </w:r>
      <w:r w:rsidRPr="002230CF">
        <w:t>může způsobit průjem u štěňat.</w:t>
      </w:r>
    </w:p>
    <w:p w14:paraId="4B31C555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>Použít pouze po zvážení terapeutického prospěchu a rizika příslušným veterinárním lékařem.</w:t>
      </w:r>
    </w:p>
    <w:bookmarkEnd w:id="13"/>
    <w:p w14:paraId="4F6C2984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3818C6A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  <w:u w:val="single"/>
        </w:rPr>
        <w:t>Interakce s jinými léčivými přípravky a další formy interakce</w:t>
      </w:r>
      <w:r w:rsidRPr="002230CF">
        <w:t>:</w:t>
      </w:r>
    </w:p>
    <w:p w14:paraId="1BF481B9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 xml:space="preserve">Bylo prokázáno, že </w:t>
      </w:r>
      <w:proofErr w:type="spellStart"/>
      <w:r w:rsidRPr="002230CF">
        <w:rPr>
          <w:szCs w:val="22"/>
        </w:rPr>
        <w:t>klindamycin</w:t>
      </w:r>
      <w:proofErr w:type="spellEnd"/>
      <w:r w:rsidRPr="002230CF">
        <w:rPr>
          <w:szCs w:val="22"/>
        </w:rPr>
        <w:t xml:space="preserve"> </w:t>
      </w:r>
      <w:proofErr w:type="spellStart"/>
      <w:r w:rsidRPr="002230CF">
        <w:rPr>
          <w:szCs w:val="22"/>
        </w:rPr>
        <w:t>hydrochlorid</w:t>
      </w:r>
      <w:proofErr w:type="spellEnd"/>
      <w:r w:rsidRPr="002230CF">
        <w:rPr>
          <w:szCs w:val="22"/>
        </w:rPr>
        <w:t xml:space="preserve"> vykazuje vlastnosti neuromuskulárního blokátoru a může zesílit účinek dalších neuromuskulárních blokátorů. U zvířat, kterým jsou takové látky podávány, musí být veterinární léčivý přípravek podáván obezřetně.</w:t>
      </w:r>
    </w:p>
    <w:p w14:paraId="0E21471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 xml:space="preserve">Soli hliníku a hydroxidy, kaolin a komplex hliník-hořčík-křemičitan mohou snižovat absorpci </w:t>
      </w:r>
      <w:proofErr w:type="spellStart"/>
      <w:r w:rsidRPr="002230CF">
        <w:rPr>
          <w:szCs w:val="22"/>
        </w:rPr>
        <w:t>linkosamidů</w:t>
      </w:r>
      <w:proofErr w:type="spellEnd"/>
      <w:r w:rsidRPr="002230CF">
        <w:rPr>
          <w:szCs w:val="22"/>
        </w:rPr>
        <w:t xml:space="preserve">. Tyto digestivní látky by se měly podávat nejméně 2 hodiny před </w:t>
      </w:r>
      <w:proofErr w:type="spellStart"/>
      <w:r w:rsidRPr="002230CF">
        <w:rPr>
          <w:szCs w:val="22"/>
        </w:rPr>
        <w:t>klindamycinem</w:t>
      </w:r>
      <w:proofErr w:type="spellEnd"/>
      <w:r w:rsidRPr="002230CF">
        <w:rPr>
          <w:szCs w:val="22"/>
        </w:rPr>
        <w:t>.</w:t>
      </w:r>
    </w:p>
    <w:p w14:paraId="2DAFF4C6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230CF">
        <w:rPr>
          <w:szCs w:val="22"/>
        </w:rPr>
        <w:t>Klindamycin</w:t>
      </w:r>
      <w:proofErr w:type="spellEnd"/>
      <w:r w:rsidRPr="002230CF">
        <w:rPr>
          <w:szCs w:val="22"/>
        </w:rPr>
        <w:t xml:space="preserve"> nesmí být podáván současně s </w:t>
      </w:r>
      <w:proofErr w:type="spellStart"/>
      <w:r w:rsidRPr="002230CF">
        <w:rPr>
          <w:szCs w:val="22"/>
        </w:rPr>
        <w:t>erythromycinem</w:t>
      </w:r>
      <w:proofErr w:type="spellEnd"/>
      <w:r w:rsidRPr="002230CF">
        <w:rPr>
          <w:szCs w:val="22"/>
        </w:rPr>
        <w:t xml:space="preserve"> nebo jinými </w:t>
      </w:r>
      <w:proofErr w:type="spellStart"/>
      <w:r w:rsidRPr="002230CF">
        <w:rPr>
          <w:szCs w:val="22"/>
        </w:rPr>
        <w:t>makrolidy</w:t>
      </w:r>
      <w:proofErr w:type="spellEnd"/>
    </w:p>
    <w:p w14:paraId="524E201A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 xml:space="preserve">nebo bezprostředně po jejich podání, aby se zabránilo makrolidy indukované rezistenci ke </w:t>
      </w:r>
      <w:proofErr w:type="spellStart"/>
      <w:proofErr w:type="gramStart"/>
      <w:r w:rsidRPr="002230CF">
        <w:rPr>
          <w:szCs w:val="22"/>
        </w:rPr>
        <w:t>klindamycinu</w:t>
      </w:r>
      <w:proofErr w:type="spellEnd"/>
      <w:r w:rsidRPr="002230CF">
        <w:rPr>
          <w:szCs w:val="22"/>
        </w:rPr>
        <w:t xml:space="preserve"> .</w:t>
      </w:r>
      <w:proofErr w:type="gramEnd"/>
      <w:r w:rsidRPr="002230CF">
        <w:rPr>
          <w:szCs w:val="22"/>
        </w:rPr>
        <w:t xml:space="preserve"> </w:t>
      </w:r>
    </w:p>
    <w:p w14:paraId="1A326CED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230CF">
        <w:rPr>
          <w:szCs w:val="22"/>
        </w:rPr>
        <w:t>Klindamycin</w:t>
      </w:r>
      <w:proofErr w:type="spellEnd"/>
      <w:r w:rsidRPr="002230CF">
        <w:rPr>
          <w:szCs w:val="22"/>
        </w:rPr>
        <w:t xml:space="preserve"> může snižovat plazmatické hladiny cyklosporinu s rizikem nedostatečné aktivity.</w:t>
      </w:r>
    </w:p>
    <w:p w14:paraId="1B896DA8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 xml:space="preserve">Při současném podání </w:t>
      </w:r>
      <w:proofErr w:type="spellStart"/>
      <w:r w:rsidRPr="002230CF">
        <w:rPr>
          <w:szCs w:val="22"/>
        </w:rPr>
        <w:t>klindamycinu</w:t>
      </w:r>
      <w:proofErr w:type="spellEnd"/>
      <w:r w:rsidRPr="002230CF">
        <w:rPr>
          <w:szCs w:val="22"/>
        </w:rPr>
        <w:t xml:space="preserve"> a aminoglykosidů (např. </w:t>
      </w:r>
      <w:proofErr w:type="spellStart"/>
      <w:r w:rsidRPr="002230CF">
        <w:rPr>
          <w:szCs w:val="22"/>
        </w:rPr>
        <w:t>gentamicinu</w:t>
      </w:r>
      <w:proofErr w:type="spellEnd"/>
      <w:r w:rsidRPr="002230CF">
        <w:rPr>
          <w:szCs w:val="22"/>
        </w:rPr>
        <w:t>), nejsou vyloučeny nežádoucí interakce (akutní selhání ledvin).</w:t>
      </w:r>
    </w:p>
    <w:p w14:paraId="02408A4C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230CF">
        <w:rPr>
          <w:szCs w:val="22"/>
        </w:rPr>
        <w:lastRenderedPageBreak/>
        <w:t>Klindamycin</w:t>
      </w:r>
      <w:proofErr w:type="spellEnd"/>
      <w:r w:rsidRPr="002230CF">
        <w:rPr>
          <w:szCs w:val="22"/>
        </w:rPr>
        <w:t xml:space="preserve"> by se neměl používat současně s chloramfenikolem nebo makrolidy, protože také působí na </w:t>
      </w:r>
      <w:proofErr w:type="gramStart"/>
      <w:r w:rsidRPr="002230CF">
        <w:rPr>
          <w:szCs w:val="22"/>
        </w:rPr>
        <w:t>50S</w:t>
      </w:r>
      <w:proofErr w:type="gramEnd"/>
      <w:r w:rsidRPr="002230CF">
        <w:rPr>
          <w:szCs w:val="22"/>
        </w:rPr>
        <w:t xml:space="preserve"> podjednotku </w:t>
      </w:r>
      <w:proofErr w:type="spellStart"/>
      <w:r w:rsidRPr="002230CF">
        <w:rPr>
          <w:szCs w:val="22"/>
        </w:rPr>
        <w:t>ribozómu</w:t>
      </w:r>
      <w:proofErr w:type="spellEnd"/>
      <w:r w:rsidRPr="002230CF">
        <w:rPr>
          <w:szCs w:val="22"/>
        </w:rPr>
        <w:t xml:space="preserve"> a jejich účinek by se mohl vzájemně antagonizovat.</w:t>
      </w:r>
    </w:p>
    <w:p w14:paraId="010624EF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63C39574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  <w:u w:val="single"/>
        </w:rPr>
        <w:t>Předávkování</w:t>
      </w:r>
      <w:r w:rsidRPr="002230CF">
        <w:t>:</w:t>
      </w:r>
    </w:p>
    <w:p w14:paraId="61496F8E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 xml:space="preserve">Perorální dávky </w:t>
      </w:r>
      <w:proofErr w:type="spellStart"/>
      <w:r w:rsidRPr="002230CF">
        <w:t>klindamycinu</w:t>
      </w:r>
      <w:proofErr w:type="spellEnd"/>
      <w:r w:rsidRPr="002230CF">
        <w:t xml:space="preserve"> až do 300 mg/kg/den nevedly k toxicitě. U psů, kterým bylo podáváno 600 mg/kg/den </w:t>
      </w:r>
      <w:proofErr w:type="spellStart"/>
      <w:r w:rsidRPr="002230CF">
        <w:t>klindamycinu</w:t>
      </w:r>
      <w:proofErr w:type="spellEnd"/>
      <w:r w:rsidRPr="002230CF">
        <w:t xml:space="preserve"> se rozvinuly příznaky anorexie, zvracení a úbytky hmotnosti. V případech předávkování je nutno přerušit léčbu okamžitě a stanovit symptomatickou léčbu.</w:t>
      </w:r>
    </w:p>
    <w:p w14:paraId="5949815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3F2B506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411794A6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7.</w:t>
      </w:r>
      <w:r w:rsidRPr="002230CF">
        <w:tab/>
        <w:t>Nežádoucí účinky</w:t>
      </w:r>
    </w:p>
    <w:p w14:paraId="40AE8CAE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162ACC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>Psi:</w:t>
      </w:r>
    </w:p>
    <w:p w14:paraId="1074DAE9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35973" w:rsidRPr="002230CF" w14:paraId="0DBDEC6E" w14:textId="77777777" w:rsidTr="004400F0">
        <w:tc>
          <w:tcPr>
            <w:tcW w:w="1957" w:type="pct"/>
          </w:tcPr>
          <w:p w14:paraId="6DFEC76D" w14:textId="77777777" w:rsidR="00535973" w:rsidRPr="002230CF" w:rsidRDefault="00535973" w:rsidP="004400F0">
            <w:pPr>
              <w:spacing w:before="60" w:after="60"/>
              <w:rPr>
                <w:szCs w:val="22"/>
              </w:rPr>
            </w:pPr>
            <w:r w:rsidRPr="002230CF">
              <w:t>Méně časté</w:t>
            </w:r>
          </w:p>
          <w:p w14:paraId="623595EF" w14:textId="77777777" w:rsidR="00535973" w:rsidRPr="002230CF" w:rsidRDefault="00535973" w:rsidP="004400F0">
            <w:pPr>
              <w:spacing w:before="60" w:after="60"/>
              <w:rPr>
                <w:szCs w:val="22"/>
              </w:rPr>
            </w:pPr>
            <w:r w:rsidRPr="002230CF">
              <w:t>(1 až 10 zvířat / 1 000 ošetřených zvířat):</w:t>
            </w:r>
          </w:p>
        </w:tc>
        <w:tc>
          <w:tcPr>
            <w:tcW w:w="3043" w:type="pct"/>
          </w:tcPr>
          <w:p w14:paraId="3CC5DD0C" w14:textId="77777777" w:rsidR="00535973" w:rsidRPr="002230CF" w:rsidRDefault="00535973" w:rsidP="004400F0">
            <w:pPr>
              <w:spacing w:before="60" w:after="60"/>
              <w:rPr>
                <w:iCs/>
                <w:szCs w:val="22"/>
              </w:rPr>
            </w:pPr>
            <w:r w:rsidRPr="002230CF">
              <w:rPr>
                <w:iCs/>
                <w:szCs w:val="22"/>
              </w:rPr>
              <w:t xml:space="preserve">Zvracení, průjem, narušení střevní </w:t>
            </w:r>
            <w:proofErr w:type="spellStart"/>
            <w:r w:rsidRPr="002230CF">
              <w:rPr>
                <w:iCs/>
                <w:szCs w:val="22"/>
              </w:rPr>
              <w:t>mikroflóry</w:t>
            </w:r>
            <w:r w:rsidRPr="002230CF">
              <w:rPr>
                <w:iCs/>
                <w:szCs w:val="22"/>
                <w:vertAlign w:val="superscript"/>
              </w:rPr>
              <w:t>a</w:t>
            </w:r>
            <w:proofErr w:type="spellEnd"/>
          </w:p>
        </w:tc>
      </w:tr>
    </w:tbl>
    <w:p w14:paraId="4A23EDFC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EC42819" w14:textId="77AF00CC" w:rsidR="00535973" w:rsidRPr="002230CF" w:rsidRDefault="00535973" w:rsidP="00535973">
      <w:pPr>
        <w:spacing w:line="240" w:lineRule="auto"/>
      </w:pPr>
      <w:proofErr w:type="spellStart"/>
      <w:r w:rsidRPr="002230CF">
        <w:rPr>
          <w:vertAlign w:val="superscript"/>
        </w:rPr>
        <w:t>a</w:t>
      </w:r>
      <w:r w:rsidRPr="002230CF">
        <w:t>Klindamycin</w:t>
      </w:r>
      <w:proofErr w:type="spellEnd"/>
      <w:r w:rsidRPr="002230CF">
        <w:t xml:space="preserve"> vyvolává přerůstání necitlivých organismů, jako jsou rezistentní klostridia a kvasinky. V případě superinfekce je třeba přijmout vhodná opatření v závislosti na klinické situaci.</w:t>
      </w:r>
    </w:p>
    <w:p w14:paraId="1642FBAF" w14:textId="77777777" w:rsidR="00535973" w:rsidRPr="002230CF" w:rsidRDefault="00535973" w:rsidP="00535973"/>
    <w:p w14:paraId="22BE2FAF" w14:textId="0FBE99CF" w:rsidR="00535973" w:rsidRPr="002230CF" w:rsidRDefault="00535973" w:rsidP="00535973">
      <w:pPr>
        <w:rPr>
          <w:szCs w:val="22"/>
        </w:rPr>
      </w:pPr>
      <w:r w:rsidRPr="002230CF">
        <w:t>Hlášení nežádoucích účinků je důležité. Umožňuje nepřetržité sledování bezpečnosti veterinárního léčivého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5D7011">
        <w:t>i</w:t>
      </w:r>
      <w:r w:rsidRPr="002230CF">
        <w:t xml:space="preserve"> rozhodnutí o registraci s využitím kontaktních údajů uvedených na konci této příbalové informace nebo prostřednictvím národního systému hlášení nežádoucích účinků: </w:t>
      </w:r>
    </w:p>
    <w:p w14:paraId="75380E82" w14:textId="77777777" w:rsidR="00535973" w:rsidRPr="002230CF" w:rsidRDefault="00535973" w:rsidP="00535973">
      <w:pPr>
        <w:tabs>
          <w:tab w:val="left" w:pos="-720"/>
        </w:tabs>
        <w:suppressAutoHyphens/>
        <w:rPr>
          <w:noProof/>
          <w:szCs w:val="22"/>
        </w:rPr>
      </w:pPr>
    </w:p>
    <w:p w14:paraId="02918B70" w14:textId="77777777" w:rsidR="00535973" w:rsidRPr="002230CF" w:rsidRDefault="00535973" w:rsidP="00535973">
      <w:pPr>
        <w:tabs>
          <w:tab w:val="left" w:pos="-720"/>
        </w:tabs>
        <w:suppressAutoHyphens/>
        <w:rPr>
          <w:rFonts w:cs="Arial"/>
          <w:szCs w:val="22"/>
        </w:rPr>
      </w:pPr>
      <w:r w:rsidRPr="002230CF">
        <w:rPr>
          <w:rFonts w:cs="Arial"/>
          <w:szCs w:val="22"/>
        </w:rPr>
        <w:t xml:space="preserve">Ústav pro státní kontrolu veterinárních biopreparátů a léčiv </w:t>
      </w:r>
    </w:p>
    <w:p w14:paraId="249F050E" w14:textId="482CB598" w:rsidR="00535973" w:rsidRPr="002230CF" w:rsidRDefault="00535973" w:rsidP="00535973">
      <w:pPr>
        <w:tabs>
          <w:tab w:val="left" w:pos="-720"/>
        </w:tabs>
        <w:suppressAutoHyphens/>
        <w:rPr>
          <w:rFonts w:cs="Arial"/>
          <w:szCs w:val="22"/>
        </w:rPr>
      </w:pPr>
      <w:r w:rsidRPr="002230CF">
        <w:rPr>
          <w:rFonts w:cs="Arial"/>
          <w:szCs w:val="22"/>
        </w:rPr>
        <w:t>Hudcova 56</w:t>
      </w:r>
      <w:r w:rsidR="005D7011">
        <w:rPr>
          <w:rFonts w:cs="Arial"/>
          <w:szCs w:val="22"/>
        </w:rPr>
        <w:t xml:space="preserve"> </w:t>
      </w:r>
      <w:r w:rsidRPr="002230CF">
        <w:rPr>
          <w:rFonts w:cs="Arial"/>
          <w:szCs w:val="22"/>
        </w:rPr>
        <w:t xml:space="preserve">a </w:t>
      </w:r>
    </w:p>
    <w:p w14:paraId="0391BADD" w14:textId="77777777" w:rsidR="00535973" w:rsidRPr="002230CF" w:rsidRDefault="00535973" w:rsidP="00535973">
      <w:pPr>
        <w:tabs>
          <w:tab w:val="left" w:pos="-720"/>
        </w:tabs>
        <w:suppressAutoHyphens/>
        <w:rPr>
          <w:rFonts w:cs="Arial"/>
          <w:szCs w:val="22"/>
        </w:rPr>
      </w:pPr>
      <w:r w:rsidRPr="002230CF">
        <w:rPr>
          <w:rFonts w:cs="Arial"/>
          <w:szCs w:val="22"/>
        </w:rPr>
        <w:t>621 00 Brno</w:t>
      </w:r>
    </w:p>
    <w:p w14:paraId="08BA736D" w14:textId="1E1F4BE1" w:rsidR="00535973" w:rsidRPr="002230CF" w:rsidRDefault="005D7011" w:rsidP="00535973">
      <w:pPr>
        <w:tabs>
          <w:tab w:val="left" w:pos="-720"/>
        </w:tabs>
        <w:suppressAutoHyphens/>
        <w:rPr>
          <w:rFonts w:cs="Arial"/>
          <w:szCs w:val="22"/>
        </w:rPr>
      </w:pPr>
      <w:r>
        <w:rPr>
          <w:rFonts w:cs="Arial"/>
          <w:szCs w:val="22"/>
        </w:rPr>
        <w:t>E-m</w:t>
      </w:r>
      <w:r w:rsidR="00535973" w:rsidRPr="002230CF">
        <w:rPr>
          <w:rFonts w:cs="Arial"/>
          <w:szCs w:val="22"/>
        </w:rPr>
        <w:t xml:space="preserve">ail: </w:t>
      </w:r>
      <w:hyperlink r:id="rId7" w:history="1">
        <w:r w:rsidR="00535973" w:rsidRPr="002230CF">
          <w:rPr>
            <w:rStyle w:val="Hypertextovodkaz"/>
            <w:rFonts w:cs="Arial"/>
            <w:szCs w:val="22"/>
          </w:rPr>
          <w:t>adr@uskvbl.cz</w:t>
        </w:r>
      </w:hyperlink>
    </w:p>
    <w:p w14:paraId="73EAC67B" w14:textId="77777777" w:rsidR="00535973" w:rsidRPr="002230CF" w:rsidRDefault="00535973" w:rsidP="00535973">
      <w:pPr>
        <w:tabs>
          <w:tab w:val="left" w:pos="-720"/>
        </w:tabs>
        <w:suppressAutoHyphens/>
        <w:rPr>
          <w:rStyle w:val="Hypertextovodkaz"/>
          <w:szCs w:val="22"/>
        </w:rPr>
      </w:pPr>
      <w:r w:rsidRPr="002230CF">
        <w:rPr>
          <w:rFonts w:cs="Arial"/>
          <w:szCs w:val="22"/>
        </w:rPr>
        <w:t xml:space="preserve">Webové stránky: </w:t>
      </w:r>
      <w:hyperlink r:id="rId8" w:history="1">
        <w:r w:rsidRPr="002230CF">
          <w:rPr>
            <w:rStyle w:val="Hypertextovodkaz"/>
            <w:rFonts w:cs="Arial"/>
            <w:szCs w:val="22"/>
          </w:rPr>
          <w:t>http://www.uskvbl.cz/cs/farmakovigilance</w:t>
        </w:r>
      </w:hyperlink>
    </w:p>
    <w:p w14:paraId="10CD4B22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EC800F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9D8C9C2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8.</w:t>
      </w:r>
      <w:r w:rsidRPr="002230CF">
        <w:tab/>
        <w:t>Dávkování pro každý druh, cesty a způsob podání</w:t>
      </w:r>
    </w:p>
    <w:p w14:paraId="1CC0F7C3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31EDB6FA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  <w:r w:rsidRPr="002230CF">
        <w:rPr>
          <w:noProof/>
        </w:rPr>
        <w:t>Perorální podání.</w:t>
      </w:r>
    </w:p>
    <w:p w14:paraId="07916513" w14:textId="77777777" w:rsidR="00535973" w:rsidRPr="002230CF" w:rsidRDefault="00535973" w:rsidP="00535973">
      <w:pPr>
        <w:tabs>
          <w:tab w:val="clear" w:pos="567"/>
        </w:tabs>
        <w:spacing w:line="240" w:lineRule="auto"/>
        <w:ind w:left="567" w:hanging="567"/>
        <w:rPr>
          <w:noProof/>
        </w:rPr>
      </w:pPr>
      <w:r w:rsidRPr="002230CF">
        <w:rPr>
          <w:noProof/>
        </w:rPr>
        <w:t>1.</w:t>
      </w:r>
      <w:r w:rsidRPr="002230CF">
        <w:rPr>
          <w:noProof/>
        </w:rPr>
        <w:tab/>
        <w:t>K léčbě infikovaných ran a abscesů a infekcí ústní dutiny</w:t>
      </w:r>
      <w:r w:rsidRPr="002230CF">
        <w:t xml:space="preserve"> včetně periodontálního onemocnění</w:t>
      </w:r>
      <w:r w:rsidRPr="002230CF">
        <w:rPr>
          <w:noProof/>
        </w:rPr>
        <w:t xml:space="preserve"> </w:t>
      </w:r>
      <w:r w:rsidRPr="002230CF">
        <w:t xml:space="preserve">podávat </w:t>
      </w:r>
      <w:r w:rsidRPr="002230CF">
        <w:rPr>
          <w:noProof/>
        </w:rPr>
        <w:t>buď:</w:t>
      </w:r>
    </w:p>
    <w:p w14:paraId="6FDF2B9E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  <w:r w:rsidRPr="002230CF">
        <w:rPr>
          <w:noProof/>
        </w:rPr>
        <w:t>•</w:t>
      </w:r>
      <w:r w:rsidRPr="002230CF">
        <w:rPr>
          <w:noProof/>
        </w:rPr>
        <w:tab/>
        <w:t>5,5 mg klindamycinu/kg ž. hm. každých 12 hodin po dobu 7–10 dnů, nebo</w:t>
      </w:r>
    </w:p>
    <w:p w14:paraId="5F99428F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  <w:r w:rsidRPr="002230CF">
        <w:rPr>
          <w:noProof/>
        </w:rPr>
        <w:t>•</w:t>
      </w:r>
      <w:r w:rsidRPr="002230CF">
        <w:rPr>
          <w:noProof/>
        </w:rPr>
        <w:tab/>
        <w:t>11 mg klindamycinu /kg ž. hm. každých 24 hodin po dobu 7–10 dnů</w:t>
      </w:r>
    </w:p>
    <w:p w14:paraId="02CCD650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bookmarkStart w:id="14" w:name="_Hlk517860527"/>
      <w:r w:rsidRPr="002230CF">
        <w:t>Pokud se neprojeví žádná klinická odpověď do 4 dnů, je potřeba přehodnotit diagnózu.</w:t>
      </w:r>
      <w:bookmarkEnd w:id="14"/>
    </w:p>
    <w:p w14:paraId="07467955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</w:p>
    <w:p w14:paraId="35A9632F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  <w:r w:rsidRPr="002230CF">
        <w:rPr>
          <w:noProof/>
        </w:rPr>
        <w:t>2.</w:t>
      </w:r>
      <w:r w:rsidRPr="002230CF">
        <w:rPr>
          <w:noProof/>
        </w:rPr>
        <w:tab/>
        <w:t xml:space="preserve">K léčbě povrchové pyodermie </w:t>
      </w:r>
      <w:r w:rsidRPr="002230CF">
        <w:t xml:space="preserve">podávat </w:t>
      </w:r>
      <w:r w:rsidRPr="002230CF">
        <w:rPr>
          <w:noProof/>
        </w:rPr>
        <w:t>buď:</w:t>
      </w:r>
    </w:p>
    <w:p w14:paraId="3E4EE07A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  <w:r w:rsidRPr="002230CF">
        <w:rPr>
          <w:noProof/>
        </w:rPr>
        <w:t>•</w:t>
      </w:r>
      <w:r w:rsidRPr="002230CF">
        <w:rPr>
          <w:noProof/>
        </w:rPr>
        <w:tab/>
        <w:t>5,5 mg klindamycinu /kg ž. hm. každých 12 hodin, nebo</w:t>
      </w:r>
    </w:p>
    <w:p w14:paraId="73066DC7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  <w:r w:rsidRPr="002230CF">
        <w:rPr>
          <w:noProof/>
        </w:rPr>
        <w:t>•</w:t>
      </w:r>
      <w:r w:rsidRPr="002230CF">
        <w:rPr>
          <w:noProof/>
        </w:rPr>
        <w:tab/>
        <w:t>11 mg klindamycinu /kg ž. hm. každých 24 hodin</w:t>
      </w:r>
    </w:p>
    <w:p w14:paraId="58AE53BE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  <w:r w:rsidRPr="002230CF">
        <w:rPr>
          <w:noProof/>
        </w:rPr>
        <w:t xml:space="preserve">Doporučená délka léčby povrchové pyodermie je obvykle 21 dnů, s tím, že je možné na základě klinického posouzení rozhodnout o jejím </w:t>
      </w:r>
      <w:bookmarkStart w:id="15" w:name="_Hlk535487132"/>
      <w:r w:rsidRPr="002230CF">
        <w:t xml:space="preserve">prodloužení nebo </w:t>
      </w:r>
      <w:bookmarkEnd w:id="15"/>
      <w:r w:rsidRPr="002230CF">
        <w:rPr>
          <w:noProof/>
        </w:rPr>
        <w:t>zkrácení</w:t>
      </w:r>
    </w:p>
    <w:p w14:paraId="32CF81F5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</w:p>
    <w:p w14:paraId="5DB956FD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  <w:r w:rsidRPr="002230CF">
        <w:rPr>
          <w:noProof/>
        </w:rPr>
        <w:t>3.</w:t>
      </w:r>
      <w:r w:rsidRPr="002230CF">
        <w:rPr>
          <w:noProof/>
        </w:rPr>
        <w:tab/>
        <w:t xml:space="preserve">K léčbě osteomyelitidy podávat: </w:t>
      </w:r>
    </w:p>
    <w:p w14:paraId="2A4B1096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  <w:r w:rsidRPr="002230CF">
        <w:rPr>
          <w:noProof/>
        </w:rPr>
        <w:t>•</w:t>
      </w:r>
      <w:r w:rsidRPr="002230CF">
        <w:rPr>
          <w:noProof/>
        </w:rPr>
        <w:tab/>
        <w:t>11 mg klindamycinu /kg ž. hm. každých 12 hodin po dobu nejméně 28 dnů.</w:t>
      </w:r>
    </w:p>
    <w:p w14:paraId="43B992FA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  <w:r w:rsidRPr="002230CF">
        <w:t>Pokud se během 14 dnů nedostaví žádná klinická odezva, je nutné léčbu ukončit a přehodnotit diagnózu.</w:t>
      </w:r>
    </w:p>
    <w:p w14:paraId="41484C8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</w:p>
    <w:p w14:paraId="0DAB8F83" w14:textId="2C61A469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lastRenderedPageBreak/>
        <w:t>Pro zajištění správného dávkování je třeba co nejpřesněji stanovit živou hmotnost, aby se předešlo nedostatečnému dávkování.</w:t>
      </w:r>
    </w:p>
    <w:p w14:paraId="09AD533C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595ED294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25C150EF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9.</w:t>
      </w:r>
      <w:r w:rsidRPr="002230CF">
        <w:tab/>
        <w:t>Informace o správném podávání</w:t>
      </w:r>
    </w:p>
    <w:p w14:paraId="044A9A26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3D08558F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t xml:space="preserve">Aby bylo zajištěno přesné dávkování, lze tablety rozdělit na 2 nebo 4 stejné části. Tabletu umístit </w:t>
      </w:r>
      <w:r w:rsidRPr="002230CF">
        <w:rPr>
          <w:szCs w:val="22"/>
        </w:rPr>
        <w:t>na rovnou plochu, vyznačenou stranou směrem nahoru a konvexní (zaoblenou) stranou směrem k povrchu.</w:t>
      </w:r>
    </w:p>
    <w:p w14:paraId="03C719CE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noProof/>
          <w:szCs w:val="22"/>
          <w:lang w:eastAsia="cs-CZ"/>
        </w:rPr>
        <w:drawing>
          <wp:inline distT="0" distB="0" distL="0" distR="0" wp14:anchorId="407301FC" wp14:editId="171FFE49">
            <wp:extent cx="2305050" cy="1952625"/>
            <wp:effectExtent l="0" t="0" r="0" b="0"/>
            <wp:docPr id="4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5B8EC" w14:textId="77777777" w:rsidR="00535973" w:rsidRPr="002230CF" w:rsidRDefault="00535973" w:rsidP="00535973">
      <w:pPr>
        <w:spacing w:line="240" w:lineRule="atLeast"/>
        <w:ind w:right="-2"/>
        <w:rPr>
          <w:szCs w:val="22"/>
        </w:rPr>
      </w:pPr>
      <w:r w:rsidRPr="002230CF">
        <w:rPr>
          <w:szCs w:val="22"/>
        </w:rPr>
        <w:t>2 stejné části: zatlačit oběma palci na obě strany tablety.</w:t>
      </w:r>
    </w:p>
    <w:p w14:paraId="1003FB59" w14:textId="77777777" w:rsidR="00535973" w:rsidRPr="002230CF" w:rsidRDefault="00535973" w:rsidP="00535973">
      <w:pPr>
        <w:spacing w:line="240" w:lineRule="atLeast"/>
        <w:ind w:right="-2"/>
        <w:rPr>
          <w:snapToGrid w:val="0"/>
          <w:szCs w:val="24"/>
        </w:rPr>
      </w:pPr>
      <w:r w:rsidRPr="002230CF">
        <w:rPr>
          <w:szCs w:val="22"/>
        </w:rPr>
        <w:t>4 stejné části: zatlačit palcem na prostředek tablety.</w:t>
      </w:r>
    </w:p>
    <w:p w14:paraId="03CE2EFF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17ED9FD1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18CABA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10.</w:t>
      </w:r>
      <w:r w:rsidRPr="002230CF">
        <w:tab/>
        <w:t>Ochranné lhůty</w:t>
      </w:r>
    </w:p>
    <w:p w14:paraId="5C260514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9DC35B" w14:textId="38ED2A95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>Neuplatňuje se.</w:t>
      </w:r>
    </w:p>
    <w:p w14:paraId="745C53E5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0B703B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DD3A9B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11.</w:t>
      </w:r>
      <w:r w:rsidRPr="002230CF">
        <w:tab/>
        <w:t>Zvláštní opatření pro uchovávání</w:t>
      </w:r>
    </w:p>
    <w:p w14:paraId="2C1E4ED6" w14:textId="77777777" w:rsidR="00535973" w:rsidRPr="002230CF" w:rsidRDefault="00535973" w:rsidP="005359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1C32B68" w14:textId="7D87792E" w:rsidR="00535973" w:rsidRPr="002230CF" w:rsidRDefault="00535973" w:rsidP="00535973">
      <w:pPr>
        <w:spacing w:line="240" w:lineRule="atLeast"/>
        <w:ind w:right="-2"/>
        <w:rPr>
          <w:snapToGrid w:val="0"/>
        </w:rPr>
      </w:pPr>
      <w:r w:rsidRPr="002230CF">
        <w:rPr>
          <w:snapToGrid w:val="0"/>
        </w:rPr>
        <w:t>Uchovávejte mimo dohled a dosah dětí.</w:t>
      </w:r>
    </w:p>
    <w:p w14:paraId="5764E915" w14:textId="77777777" w:rsidR="00535973" w:rsidRPr="002230CF" w:rsidRDefault="00535973" w:rsidP="00535973">
      <w:pPr>
        <w:spacing w:line="240" w:lineRule="atLeast"/>
        <w:ind w:right="-2"/>
        <w:rPr>
          <w:snapToGrid w:val="0"/>
          <w:szCs w:val="24"/>
        </w:rPr>
      </w:pPr>
    </w:p>
    <w:p w14:paraId="43CC2F7E" w14:textId="77777777" w:rsidR="00535973" w:rsidRPr="002230CF" w:rsidRDefault="00535973" w:rsidP="00535973">
      <w:pPr>
        <w:rPr>
          <w:noProof/>
        </w:rPr>
      </w:pPr>
      <w:r w:rsidRPr="002230CF">
        <w:rPr>
          <w:noProof/>
        </w:rPr>
        <w:t xml:space="preserve">Tento veterinární léčivý přípravek nevyžaduje žádné zvláštní podmínky pro uchovávání. </w:t>
      </w:r>
    </w:p>
    <w:p w14:paraId="0B46C720" w14:textId="72816471" w:rsidR="00535973" w:rsidRPr="002230CF" w:rsidRDefault="00535973" w:rsidP="00535973">
      <w:pPr>
        <w:spacing w:line="240" w:lineRule="atLeast"/>
        <w:ind w:right="-2"/>
        <w:rPr>
          <w:snapToGrid w:val="0"/>
          <w:szCs w:val="24"/>
        </w:rPr>
      </w:pPr>
      <w:r w:rsidRPr="002230CF">
        <w:rPr>
          <w:snapToGrid w:val="0"/>
        </w:rPr>
        <w:t>Nepoužívejte tento veterinární léčivý přípravek po uplynutí doby použitelnosti uvedené na etiketě po Exp.</w:t>
      </w:r>
    </w:p>
    <w:p w14:paraId="3551BBA4" w14:textId="77777777" w:rsidR="00535973" w:rsidRPr="002230CF" w:rsidRDefault="00535973" w:rsidP="005359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 xml:space="preserve">Doba použitelnosti končí posledním dnem v uvedeném měsíci. </w:t>
      </w:r>
    </w:p>
    <w:p w14:paraId="1B985214" w14:textId="77777777" w:rsidR="00535973" w:rsidRPr="002230CF" w:rsidRDefault="00535973" w:rsidP="005359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D919864" w14:textId="68F7334B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>Doba použitelnosti rozdělených tablet po prvním otevření vnitřního obalu: 3</w:t>
      </w:r>
      <w:r>
        <w:rPr>
          <w:szCs w:val="22"/>
        </w:rPr>
        <w:t> </w:t>
      </w:r>
      <w:r w:rsidRPr="002230CF">
        <w:rPr>
          <w:szCs w:val="22"/>
        </w:rPr>
        <w:t>dny.</w:t>
      </w:r>
    </w:p>
    <w:p w14:paraId="159006FA" w14:textId="77777777" w:rsidR="00535973" w:rsidRPr="002230CF" w:rsidRDefault="00535973" w:rsidP="005359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16865B5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2D12B622" w14:textId="77777777" w:rsidR="00535973" w:rsidRPr="002230CF" w:rsidRDefault="00535973" w:rsidP="003F7EBD">
      <w:pPr>
        <w:pStyle w:val="Style1"/>
        <w:keepNext/>
      </w:pPr>
      <w:r w:rsidRPr="002230CF">
        <w:rPr>
          <w:highlight w:val="lightGray"/>
        </w:rPr>
        <w:t>12.</w:t>
      </w:r>
      <w:r w:rsidRPr="002230CF">
        <w:tab/>
        <w:t>Zvláštní opatření pro likvidaci</w:t>
      </w:r>
    </w:p>
    <w:p w14:paraId="41E206FA" w14:textId="77777777" w:rsidR="00535973" w:rsidRPr="002230CF" w:rsidRDefault="00535973" w:rsidP="003F7EB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7326962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t>Léčivé přípravky se nesmí likvidovat prostřednictvím odpadní vody či domovního odpadu.</w:t>
      </w:r>
    </w:p>
    <w:p w14:paraId="04018FCD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65BFC350" w14:textId="77777777" w:rsidR="00535973" w:rsidRPr="002230CF" w:rsidRDefault="00535973" w:rsidP="00535973">
      <w:pPr>
        <w:rPr>
          <w:szCs w:val="22"/>
        </w:rPr>
      </w:pPr>
      <w:r w:rsidRPr="002230CF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8B4C8E1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1A8B1A09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t>O možnostech likvidace nepotřebných léčivých přípravků se poraďte s vaším veterinárním lékařem nebo lékárníkem.</w:t>
      </w:r>
    </w:p>
    <w:p w14:paraId="65728AE2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646E21B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85D1621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13.</w:t>
      </w:r>
      <w:r w:rsidRPr="002230CF">
        <w:tab/>
        <w:t>Klasifikace veterinárních léčivých přípravků</w:t>
      </w:r>
    </w:p>
    <w:p w14:paraId="4626AE41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54F7CB47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lastRenderedPageBreak/>
        <w:t>Veterinární léčivý přípravek je vydáván pouze na předpis.</w:t>
      </w:r>
    </w:p>
    <w:p w14:paraId="413E509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EA5822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E7DC8FB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14.</w:t>
      </w:r>
      <w:r w:rsidRPr="002230CF">
        <w:tab/>
        <w:t>Registrační čísla a velikosti balení</w:t>
      </w:r>
    </w:p>
    <w:p w14:paraId="3A9450B3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66E8C542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>96/037/</w:t>
      </w:r>
      <w:proofErr w:type="gramStart"/>
      <w:r w:rsidRPr="002230CF">
        <w:t>19-C</w:t>
      </w:r>
      <w:proofErr w:type="gramEnd"/>
    </w:p>
    <w:p w14:paraId="0AE453D7" w14:textId="77777777" w:rsidR="00535973" w:rsidRPr="002230CF" w:rsidRDefault="00535973" w:rsidP="00535973">
      <w:pPr>
        <w:tabs>
          <w:tab w:val="clear" w:pos="567"/>
        </w:tabs>
        <w:spacing w:line="240" w:lineRule="auto"/>
        <w:jc w:val="both"/>
      </w:pPr>
    </w:p>
    <w:p w14:paraId="30A372A6" w14:textId="77777777" w:rsidR="00535973" w:rsidRPr="002230CF" w:rsidRDefault="00535973" w:rsidP="00535973">
      <w:pPr>
        <w:tabs>
          <w:tab w:val="clear" w:pos="567"/>
        </w:tabs>
        <w:spacing w:line="240" w:lineRule="auto"/>
        <w:jc w:val="both"/>
      </w:pPr>
      <w:r w:rsidRPr="002230CF">
        <w:t>Papírová krabička s 1, 2, 3, 4, 5, 6, 7, 8, 9, 10 nebo 25 blistry po 10 tabletách.</w:t>
      </w:r>
    </w:p>
    <w:p w14:paraId="09720B45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 xml:space="preserve">Papírová krabička obsahující 10 papírových krabiček, z nichž každá obsahuje 1 blistr s 10 tabletami. </w:t>
      </w:r>
    </w:p>
    <w:p w14:paraId="77271C0C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t>Na trhu nemusí být všechny velikosti balení.</w:t>
      </w:r>
    </w:p>
    <w:p w14:paraId="326BEB3A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12BD514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15.</w:t>
      </w:r>
      <w:r w:rsidRPr="002230CF">
        <w:tab/>
        <w:t>Datum poslední revize příbalové informace</w:t>
      </w:r>
    </w:p>
    <w:p w14:paraId="399A4545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741247E" w14:textId="7CC45680" w:rsidR="00535973" w:rsidRDefault="00820CBA" w:rsidP="0053597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05/2025</w:t>
      </w:r>
    </w:p>
    <w:p w14:paraId="133757F3" w14:textId="77777777" w:rsidR="00820CBA" w:rsidRPr="002230CF" w:rsidRDefault="00820CBA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7E85ECE" w14:textId="77777777" w:rsidR="00820CBA" w:rsidRDefault="00820CBA" w:rsidP="00820CBA">
      <w:pPr>
        <w:jc w:val="both"/>
        <w:rPr>
          <w:i/>
          <w:szCs w:val="22"/>
        </w:rPr>
      </w:pPr>
      <w:r>
        <w:t xml:space="preserve">Podrobné informace o tomto veterinárním léčivém přípravku jsou k dispozici v databázi přípravků Unie </w:t>
      </w:r>
      <w:r>
        <w:rPr>
          <w:szCs w:val="22"/>
        </w:rPr>
        <w:t>(</w:t>
      </w:r>
      <w:hyperlink r:id="rId10" w:history="1">
        <w:r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>
        <w:rPr>
          <w:i/>
          <w:szCs w:val="22"/>
        </w:rPr>
        <w:t>.</w:t>
      </w:r>
    </w:p>
    <w:p w14:paraId="7889C32C" w14:textId="77777777" w:rsidR="00820CBA" w:rsidRDefault="00820CBA" w:rsidP="00820CBA">
      <w:pPr>
        <w:jc w:val="both"/>
        <w:rPr>
          <w:szCs w:val="22"/>
        </w:rPr>
      </w:pPr>
    </w:p>
    <w:p w14:paraId="581173FB" w14:textId="77777777" w:rsidR="00820CBA" w:rsidRDefault="00820CBA" w:rsidP="00820CBA">
      <w:pPr>
        <w:spacing w:line="240" w:lineRule="auto"/>
        <w:jc w:val="both"/>
      </w:pPr>
      <w:bookmarkStart w:id="16" w:name="_Hlk148432335"/>
      <w:r>
        <w:t>Podrobné informace o tomto veterinárním léčivém přípravku naleznete také v národní databázi (</w:t>
      </w:r>
      <w:hyperlink r:id="rId11" w:history="1">
        <w:r>
          <w:rPr>
            <w:rStyle w:val="Hypertextovodkaz"/>
          </w:rPr>
          <w:t>https://www.uskvbl.cz</w:t>
        </w:r>
      </w:hyperlink>
      <w:r>
        <w:t>).</w:t>
      </w:r>
      <w:bookmarkEnd w:id="16"/>
    </w:p>
    <w:p w14:paraId="4D3E38B6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bookmarkStart w:id="17" w:name="_GoBack"/>
      <w:bookmarkEnd w:id="17"/>
    </w:p>
    <w:p w14:paraId="67128631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4CB2EB1A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16.</w:t>
      </w:r>
      <w:r w:rsidRPr="002230CF">
        <w:tab/>
        <w:t>Kontaktní údaje</w:t>
      </w:r>
    </w:p>
    <w:p w14:paraId="06F23478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CB6E0EC" w14:textId="77777777" w:rsidR="00B12C54" w:rsidRPr="002B10C4" w:rsidRDefault="00B12C54" w:rsidP="00B12C54">
      <w:pPr>
        <w:rPr>
          <w:iCs/>
          <w:szCs w:val="22"/>
        </w:rPr>
      </w:pPr>
      <w:bookmarkStart w:id="18" w:name="_Hlk73552578"/>
      <w:r w:rsidRPr="002B10C4">
        <w:rPr>
          <w:iCs/>
          <w:szCs w:val="22"/>
          <w:u w:val="single"/>
        </w:rPr>
        <w:t xml:space="preserve">Držitel rozhodnutí o </w:t>
      </w:r>
      <w:proofErr w:type="spellStart"/>
      <w:r w:rsidRPr="002B10C4">
        <w:rPr>
          <w:iCs/>
          <w:szCs w:val="22"/>
          <w:u w:val="single"/>
        </w:rPr>
        <w:t>registraci</w:t>
      </w:r>
      <w:r>
        <w:rPr>
          <w:iCs/>
          <w:szCs w:val="22"/>
          <w:u w:val="single"/>
        </w:rPr>
        <w:t>a</w:t>
      </w:r>
      <w:proofErr w:type="spellEnd"/>
      <w:r>
        <w:rPr>
          <w:iCs/>
          <w:szCs w:val="22"/>
          <w:u w:val="single"/>
        </w:rPr>
        <w:t xml:space="preserve"> a kontaktní údaje pro hlášení podezření na nežádoucí účinky</w:t>
      </w:r>
      <w:r w:rsidRPr="002B10C4">
        <w:t>:</w:t>
      </w:r>
    </w:p>
    <w:bookmarkEnd w:id="18"/>
    <w:p w14:paraId="2B01E25E" w14:textId="77777777" w:rsidR="00FD0EE7" w:rsidRDefault="00FD0EE7" w:rsidP="00FD0EE7">
      <w:pPr>
        <w:tabs>
          <w:tab w:val="left" w:pos="1134"/>
          <w:tab w:val="left" w:pos="4536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Dechra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Regulatory</w:t>
      </w:r>
      <w:proofErr w:type="spellEnd"/>
      <w:r>
        <w:rPr>
          <w:szCs w:val="22"/>
        </w:rPr>
        <w:t xml:space="preserve"> B.V.</w:t>
      </w:r>
    </w:p>
    <w:p w14:paraId="0255F204" w14:textId="77777777" w:rsidR="00FD0EE7" w:rsidRDefault="00FD0EE7" w:rsidP="00FD0EE7">
      <w:pPr>
        <w:tabs>
          <w:tab w:val="clear" w:pos="567"/>
          <w:tab w:val="left" w:pos="1134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Handelsweg</w:t>
      </w:r>
      <w:proofErr w:type="spellEnd"/>
      <w:r>
        <w:rPr>
          <w:szCs w:val="22"/>
        </w:rPr>
        <w:t xml:space="preserve"> 25</w:t>
      </w:r>
    </w:p>
    <w:p w14:paraId="363229F8" w14:textId="77777777" w:rsidR="00FD0EE7" w:rsidRDefault="00FD0EE7" w:rsidP="00FD0EE7">
      <w:pPr>
        <w:tabs>
          <w:tab w:val="clear" w:pos="567"/>
          <w:tab w:val="left" w:pos="1134"/>
        </w:tabs>
        <w:spacing w:line="240" w:lineRule="auto"/>
        <w:rPr>
          <w:szCs w:val="22"/>
        </w:rPr>
      </w:pPr>
      <w:r>
        <w:rPr>
          <w:szCs w:val="22"/>
        </w:rPr>
        <w:t xml:space="preserve">5531 AE </w:t>
      </w:r>
      <w:proofErr w:type="spellStart"/>
      <w:r>
        <w:rPr>
          <w:szCs w:val="22"/>
        </w:rPr>
        <w:t>Bladel</w:t>
      </w:r>
      <w:proofErr w:type="spellEnd"/>
    </w:p>
    <w:p w14:paraId="3D80D082" w14:textId="77777777" w:rsidR="00FD0EE7" w:rsidRDefault="00FD0EE7" w:rsidP="00FD0EE7">
      <w:pPr>
        <w:tabs>
          <w:tab w:val="clear" w:pos="567"/>
          <w:tab w:val="left" w:pos="1134"/>
        </w:tabs>
        <w:spacing w:line="240" w:lineRule="auto"/>
        <w:rPr>
          <w:szCs w:val="22"/>
        </w:rPr>
      </w:pPr>
      <w:r>
        <w:rPr>
          <w:szCs w:val="22"/>
        </w:rPr>
        <w:t>Nizozemsko</w:t>
      </w:r>
    </w:p>
    <w:p w14:paraId="0C860468" w14:textId="77777777" w:rsidR="00A432D2" w:rsidRDefault="00A432D2" w:rsidP="00A432D2">
      <w:pPr>
        <w:tabs>
          <w:tab w:val="clear" w:pos="567"/>
        </w:tabs>
        <w:spacing w:line="240" w:lineRule="auto"/>
        <w:rPr>
          <w:szCs w:val="22"/>
        </w:rPr>
      </w:pPr>
      <w:r w:rsidRPr="00EC3A69">
        <w:rPr>
          <w:szCs w:val="22"/>
          <w:lang w:val="nl-NL"/>
        </w:rPr>
        <w:t>+31 497 544300</w:t>
      </w:r>
      <w:r w:rsidRPr="00EC3A69">
        <w:rPr>
          <w:szCs w:val="22"/>
        </w:rPr>
        <w:t> </w:t>
      </w:r>
    </w:p>
    <w:p w14:paraId="42C521B5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1FAAFC5D" w14:textId="77777777" w:rsidR="00535973" w:rsidRPr="002230CF" w:rsidRDefault="00535973" w:rsidP="00535973">
      <w:pPr>
        <w:rPr>
          <w:bCs/>
          <w:szCs w:val="22"/>
        </w:rPr>
      </w:pPr>
      <w:r w:rsidRPr="002230CF">
        <w:rPr>
          <w:bCs/>
          <w:szCs w:val="22"/>
          <w:u w:val="single"/>
        </w:rPr>
        <w:t>Výrobce odpovědný za uvolnění šarže</w:t>
      </w:r>
      <w:r w:rsidRPr="002230CF">
        <w:t>:</w:t>
      </w:r>
    </w:p>
    <w:p w14:paraId="7DA04CEE" w14:textId="2C54D15F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230CF">
        <w:rPr>
          <w:szCs w:val="22"/>
        </w:rPr>
        <w:t>Lelypharma</w:t>
      </w:r>
      <w:proofErr w:type="spellEnd"/>
      <w:r w:rsidRPr="002230CF">
        <w:rPr>
          <w:szCs w:val="22"/>
        </w:rPr>
        <w:t xml:space="preserve"> B.V.</w:t>
      </w:r>
    </w:p>
    <w:p w14:paraId="09B43BCD" w14:textId="4CF0E6E1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230CF">
        <w:rPr>
          <w:szCs w:val="22"/>
        </w:rPr>
        <w:t>Zuiveringweg</w:t>
      </w:r>
      <w:proofErr w:type="spellEnd"/>
      <w:r w:rsidRPr="002230CF">
        <w:rPr>
          <w:szCs w:val="22"/>
        </w:rPr>
        <w:t xml:space="preserve"> 42</w:t>
      </w:r>
    </w:p>
    <w:p w14:paraId="6266EC54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 xml:space="preserve">8243 PZ </w:t>
      </w:r>
      <w:proofErr w:type="spellStart"/>
      <w:r w:rsidRPr="002230CF">
        <w:rPr>
          <w:szCs w:val="22"/>
        </w:rPr>
        <w:t>Lelystad</w:t>
      </w:r>
      <w:proofErr w:type="spellEnd"/>
    </w:p>
    <w:p w14:paraId="21854FF3" w14:textId="736CDE3F" w:rsidR="00535973" w:rsidRDefault="00535973" w:rsidP="00535973">
      <w:pPr>
        <w:rPr>
          <w:szCs w:val="22"/>
        </w:rPr>
      </w:pPr>
      <w:r w:rsidRPr="002230CF">
        <w:rPr>
          <w:szCs w:val="22"/>
        </w:rPr>
        <w:t>Nizozemsko</w:t>
      </w:r>
    </w:p>
    <w:p w14:paraId="3296FF30" w14:textId="65C8A848" w:rsidR="00321C8E" w:rsidRDefault="00321C8E" w:rsidP="00535973">
      <w:pPr>
        <w:rPr>
          <w:szCs w:val="22"/>
        </w:rPr>
      </w:pPr>
    </w:p>
    <w:p w14:paraId="272F2F32" w14:textId="77777777" w:rsidR="00321C8E" w:rsidRPr="00820CBA" w:rsidRDefault="00321C8E" w:rsidP="00321C8E">
      <w:pPr>
        <w:rPr>
          <w:bCs/>
          <w:szCs w:val="22"/>
          <w:highlight w:val="lightGray"/>
        </w:rPr>
      </w:pPr>
      <w:proofErr w:type="spellStart"/>
      <w:r w:rsidRPr="00820CBA">
        <w:rPr>
          <w:bCs/>
          <w:szCs w:val="22"/>
          <w:highlight w:val="lightGray"/>
        </w:rPr>
        <w:t>Genera</w:t>
      </w:r>
      <w:proofErr w:type="spellEnd"/>
      <w:r w:rsidRPr="00820CBA">
        <w:rPr>
          <w:bCs/>
          <w:szCs w:val="22"/>
          <w:highlight w:val="lightGray"/>
        </w:rPr>
        <w:t xml:space="preserve"> </w:t>
      </w:r>
      <w:proofErr w:type="spellStart"/>
      <w:r w:rsidRPr="00820CBA">
        <w:rPr>
          <w:bCs/>
          <w:szCs w:val="22"/>
          <w:highlight w:val="lightGray"/>
        </w:rPr>
        <w:t>d.d</w:t>
      </w:r>
      <w:proofErr w:type="spellEnd"/>
      <w:r w:rsidRPr="00820CBA">
        <w:rPr>
          <w:bCs/>
          <w:szCs w:val="22"/>
          <w:highlight w:val="lightGray"/>
        </w:rPr>
        <w:t>.</w:t>
      </w:r>
    </w:p>
    <w:p w14:paraId="583249F5" w14:textId="77777777" w:rsidR="00321C8E" w:rsidRPr="00820CBA" w:rsidRDefault="00321C8E" w:rsidP="00321C8E">
      <w:pPr>
        <w:rPr>
          <w:bCs/>
          <w:szCs w:val="22"/>
          <w:highlight w:val="lightGray"/>
        </w:rPr>
      </w:pPr>
      <w:proofErr w:type="spellStart"/>
      <w:r w:rsidRPr="00820CBA">
        <w:rPr>
          <w:bCs/>
          <w:szCs w:val="22"/>
          <w:highlight w:val="lightGray"/>
        </w:rPr>
        <w:t>Svetonedeljska</w:t>
      </w:r>
      <w:proofErr w:type="spellEnd"/>
      <w:r w:rsidRPr="00820CBA">
        <w:rPr>
          <w:bCs/>
          <w:szCs w:val="22"/>
          <w:highlight w:val="lightGray"/>
        </w:rPr>
        <w:t xml:space="preserve"> cesta 2, </w:t>
      </w:r>
      <w:proofErr w:type="spellStart"/>
      <w:r w:rsidRPr="00820CBA">
        <w:rPr>
          <w:bCs/>
          <w:szCs w:val="22"/>
          <w:highlight w:val="lightGray"/>
        </w:rPr>
        <w:t>Kalinovica</w:t>
      </w:r>
      <w:proofErr w:type="spellEnd"/>
    </w:p>
    <w:p w14:paraId="1C4C3012" w14:textId="77777777" w:rsidR="00321C8E" w:rsidRPr="00820CBA" w:rsidRDefault="00321C8E" w:rsidP="00321C8E">
      <w:pPr>
        <w:rPr>
          <w:bCs/>
          <w:szCs w:val="22"/>
          <w:highlight w:val="lightGray"/>
        </w:rPr>
      </w:pPr>
      <w:r w:rsidRPr="00820CBA">
        <w:rPr>
          <w:bCs/>
          <w:szCs w:val="22"/>
          <w:highlight w:val="lightGray"/>
        </w:rPr>
        <w:t>10436 Rakov Potok</w:t>
      </w:r>
    </w:p>
    <w:p w14:paraId="31DCE3E1" w14:textId="28BA128F" w:rsidR="00321C8E" w:rsidRPr="00321C8E" w:rsidRDefault="00321C8E" w:rsidP="00321C8E">
      <w:pPr>
        <w:rPr>
          <w:bCs/>
          <w:szCs w:val="22"/>
        </w:rPr>
      </w:pPr>
      <w:r w:rsidRPr="00820CBA">
        <w:rPr>
          <w:bCs/>
          <w:szCs w:val="22"/>
          <w:highlight w:val="lightGray"/>
        </w:rPr>
        <w:t>Chorvatsko</w:t>
      </w:r>
    </w:p>
    <w:p w14:paraId="5DECB5CF" w14:textId="77777777" w:rsidR="00321C8E" w:rsidRPr="002230CF" w:rsidRDefault="00321C8E" w:rsidP="00535973">
      <w:pPr>
        <w:rPr>
          <w:szCs w:val="22"/>
        </w:rPr>
      </w:pPr>
    </w:p>
    <w:p w14:paraId="1258D34E" w14:textId="77777777" w:rsidR="00535973" w:rsidRPr="002230CF" w:rsidRDefault="00535973" w:rsidP="00535973">
      <w:pPr>
        <w:rPr>
          <w:bCs/>
          <w:szCs w:val="22"/>
        </w:rPr>
      </w:pPr>
    </w:p>
    <w:p w14:paraId="2AB57A71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F26FB33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17.</w:t>
      </w:r>
      <w:r w:rsidRPr="002230CF">
        <w:tab/>
        <w:t>Další informace</w:t>
      </w:r>
    </w:p>
    <w:p w14:paraId="657F9C35" w14:textId="77777777" w:rsidR="00535973" w:rsidRPr="002230CF" w:rsidRDefault="00535973" w:rsidP="00535973">
      <w:pPr>
        <w:pStyle w:val="Style1"/>
      </w:pPr>
    </w:p>
    <w:p w14:paraId="6B987E6F" w14:textId="77777777" w:rsidR="00535973" w:rsidRPr="002230CF" w:rsidRDefault="00535973" w:rsidP="00535973">
      <w:pPr>
        <w:pStyle w:val="Style1"/>
      </w:pPr>
      <w:r w:rsidRPr="002230CF">
        <w:rPr>
          <w:noProof/>
        </w:rPr>
        <w:drawing>
          <wp:anchor distT="0" distB="0" distL="114300" distR="114300" simplePos="0" relativeHeight="251659264" behindDoc="0" locked="0" layoutInCell="1" allowOverlap="0" wp14:anchorId="416AF2E9" wp14:editId="3EF5BDEB">
            <wp:simplePos x="0" y="0"/>
            <wp:positionH relativeFrom="column">
              <wp:posOffset>0</wp:posOffset>
            </wp:positionH>
            <wp:positionV relativeFrom="paragraph">
              <wp:posOffset>158115</wp:posOffset>
            </wp:positionV>
            <wp:extent cx="859790" cy="768350"/>
            <wp:effectExtent l="0" t="0" r="0" b="0"/>
            <wp:wrapSquare wrapText="bothSides"/>
            <wp:docPr id="9" name="Afbeelding 2" descr="Obsah obrázku skica, kresba, bílé, řada/pruh&#10;&#10;Popis byl vytvořen automatick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2" descr="Obsah obrázku skica, kresba, bílé, řada/pruh&#10;&#10;Popis byl vytvořen automaticky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758B7" w14:textId="77777777" w:rsidR="00535973" w:rsidRPr="002230CF" w:rsidRDefault="00535973" w:rsidP="00535973"/>
    <w:p w14:paraId="6A535000" w14:textId="77777777" w:rsidR="00535973" w:rsidRPr="002230CF" w:rsidRDefault="00535973" w:rsidP="00535973"/>
    <w:p w14:paraId="193102F1" w14:textId="77777777" w:rsidR="00535973" w:rsidRPr="002230CF" w:rsidRDefault="00535973" w:rsidP="00535973"/>
    <w:p w14:paraId="084AA375" w14:textId="77777777" w:rsidR="00535973" w:rsidRPr="002230CF" w:rsidRDefault="00535973" w:rsidP="00535973"/>
    <w:p w14:paraId="326D730E" w14:textId="77777777" w:rsidR="00535973" w:rsidRPr="002230CF" w:rsidRDefault="00535973" w:rsidP="00535973"/>
    <w:p w14:paraId="2BE3B8BA" w14:textId="77777777" w:rsidR="00535973" w:rsidRPr="002230CF" w:rsidRDefault="00535973" w:rsidP="00535973">
      <w:r w:rsidRPr="002230CF">
        <w:t xml:space="preserve">Dělitelná tableta </w:t>
      </w:r>
    </w:p>
    <w:p w14:paraId="5FCCEABA" w14:textId="77777777" w:rsidR="005B3FAC" w:rsidRDefault="005B3FAC"/>
    <w:sectPr w:rsidR="005B3FAC" w:rsidSect="00535973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E4D91" w14:textId="77777777" w:rsidR="00AD60CA" w:rsidRDefault="00AD60CA">
      <w:pPr>
        <w:spacing w:line="240" w:lineRule="auto"/>
      </w:pPr>
      <w:r>
        <w:separator/>
      </w:r>
    </w:p>
  </w:endnote>
  <w:endnote w:type="continuationSeparator" w:id="0">
    <w:p w14:paraId="2A225B5E" w14:textId="77777777" w:rsidR="00AD60CA" w:rsidRDefault="00AD6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3C213" w14:textId="77777777" w:rsidR="00535973" w:rsidRPr="00E0068C" w:rsidRDefault="0053597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70DDE" w14:textId="77777777" w:rsidR="00535973" w:rsidRPr="00E0068C" w:rsidRDefault="0053597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62EE0" w14:textId="77777777" w:rsidR="00AD60CA" w:rsidRDefault="00AD60CA">
      <w:pPr>
        <w:spacing w:line="240" w:lineRule="auto"/>
      </w:pPr>
      <w:r>
        <w:separator/>
      </w:r>
    </w:p>
  </w:footnote>
  <w:footnote w:type="continuationSeparator" w:id="0">
    <w:p w14:paraId="12A0D5C4" w14:textId="77777777" w:rsidR="00AD60CA" w:rsidRDefault="00AD60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592CE" w14:textId="0E2D22EB" w:rsidR="009035BD" w:rsidRDefault="009035BD" w:rsidP="009035BD">
    <w:pPr>
      <w:pStyle w:val="Zhlav"/>
    </w:pPr>
    <w:r>
      <w:t xml:space="preserve">     </w:t>
    </w:r>
  </w:p>
  <w:p w14:paraId="1F210023" w14:textId="77777777" w:rsidR="009035BD" w:rsidRDefault="009035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73"/>
    <w:rsid w:val="00095B7A"/>
    <w:rsid w:val="000E0E8D"/>
    <w:rsid w:val="000E6F42"/>
    <w:rsid w:val="00107077"/>
    <w:rsid w:val="00200599"/>
    <w:rsid w:val="002A1E83"/>
    <w:rsid w:val="00321C8E"/>
    <w:rsid w:val="00371A20"/>
    <w:rsid w:val="003F7EBD"/>
    <w:rsid w:val="00462DE7"/>
    <w:rsid w:val="00535973"/>
    <w:rsid w:val="00552FD3"/>
    <w:rsid w:val="005B3FAC"/>
    <w:rsid w:val="005D7011"/>
    <w:rsid w:val="005F3561"/>
    <w:rsid w:val="007934A8"/>
    <w:rsid w:val="00820CBA"/>
    <w:rsid w:val="008F1A49"/>
    <w:rsid w:val="009035BD"/>
    <w:rsid w:val="00A15D7B"/>
    <w:rsid w:val="00A432D2"/>
    <w:rsid w:val="00A558D6"/>
    <w:rsid w:val="00AD60CA"/>
    <w:rsid w:val="00B12C54"/>
    <w:rsid w:val="00B3242A"/>
    <w:rsid w:val="00C4534E"/>
    <w:rsid w:val="00DA72B2"/>
    <w:rsid w:val="00FD0EE7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EEDA"/>
  <w15:chartTrackingRefBased/>
  <w15:docId w15:val="{14476BE6-5CD3-4466-B20F-7A492FDA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597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35973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rsid w:val="00535973"/>
    <w:rPr>
      <w:rFonts w:ascii="Helvetica" w:eastAsia="Times New Roman" w:hAnsi="Helvetica" w:cs="Times New Roman"/>
      <w:sz w:val="16"/>
      <w:szCs w:val="20"/>
      <w:lang w:val="cs-CZ"/>
      <w14:ligatures w14:val="none"/>
    </w:rPr>
  </w:style>
  <w:style w:type="character" w:styleId="Hypertextovodkaz">
    <w:name w:val="Hyperlink"/>
    <w:rsid w:val="00535973"/>
    <w:rPr>
      <w:color w:val="0000FF"/>
      <w:u w:val="single"/>
    </w:rPr>
  </w:style>
  <w:style w:type="paragraph" w:customStyle="1" w:styleId="Style1">
    <w:name w:val="Style1"/>
    <w:basedOn w:val="Normln"/>
    <w:qFormat/>
    <w:rsid w:val="00535973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535973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535973"/>
    <w:rPr>
      <w:szCs w:val="22"/>
    </w:rPr>
  </w:style>
  <w:style w:type="paragraph" w:styleId="Revize">
    <w:name w:val="Revision"/>
    <w:hidden/>
    <w:uiPriority w:val="99"/>
    <w:semiHidden/>
    <w:rsid w:val="002A1E83"/>
    <w:pPr>
      <w:spacing w:after="0" w:line="240" w:lineRule="auto"/>
    </w:pPr>
    <w:rPr>
      <w:rFonts w:ascii="Times New Roman" w:eastAsia="Times New Roman" w:hAnsi="Times New Roman" w:cs="Times New Roman"/>
      <w:szCs w:val="20"/>
      <w:lang w:val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3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5BD"/>
    <w:rPr>
      <w:rFonts w:ascii="Segoe UI" w:eastAsia="Times New Roman" w:hAnsi="Segoe UI" w:cs="Segoe UI"/>
      <w:sz w:val="18"/>
      <w:szCs w:val="18"/>
      <w:lang w:val="cs-CZ"/>
      <w14:ligatures w14:val="none"/>
    </w:rPr>
  </w:style>
  <w:style w:type="paragraph" w:styleId="Zhlav">
    <w:name w:val="header"/>
    <w:aliases w:val="En-tête1"/>
    <w:basedOn w:val="Normln"/>
    <w:link w:val="ZhlavChar"/>
    <w:unhideWhenUsed/>
    <w:rsid w:val="009035BD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En-tête1 Char"/>
    <w:basedOn w:val="Standardnpsmoodstavce"/>
    <w:link w:val="Zhlav"/>
    <w:rsid w:val="009035BD"/>
    <w:rPr>
      <w:rFonts w:ascii="Times New Roman" w:eastAsia="Times New Roman" w:hAnsi="Times New Roman" w:cs="Times New Roman"/>
      <w:szCs w:val="20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skvbl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1512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Dechra Veterinary Products</Company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Trninić</dc:creator>
  <cp:keywords/>
  <dc:description/>
  <cp:lastModifiedBy>Neugebauerová Kateřina</cp:lastModifiedBy>
  <cp:revision>18</cp:revision>
  <cp:lastPrinted>2025-05-26T11:31:00Z</cp:lastPrinted>
  <dcterms:created xsi:type="dcterms:W3CDTF">2024-10-15T11:37:00Z</dcterms:created>
  <dcterms:modified xsi:type="dcterms:W3CDTF">2025-05-26T11:31:00Z</dcterms:modified>
</cp:coreProperties>
</file>