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rPr>
          <w:i/>
        </w:rPr>
      </w:pPr>
    </w:p>
    <w:p w:rsidR="00B63A76" w:rsidRDefault="00B63A76">
      <w:pPr>
        <w:pStyle w:val="Zkladntext"/>
        <w:spacing w:before="120"/>
        <w:rPr>
          <w:i/>
        </w:rPr>
      </w:pPr>
    </w:p>
    <w:p w:rsidR="00B63A76" w:rsidRDefault="00505B8F">
      <w:pPr>
        <w:ind w:right="281"/>
        <w:jc w:val="center"/>
        <w:rPr>
          <w:b/>
        </w:rPr>
      </w:pPr>
      <w:r>
        <w:rPr>
          <w:b/>
        </w:rPr>
        <w:t xml:space="preserve">PŘÍLOHA </w:t>
      </w:r>
      <w:r>
        <w:rPr>
          <w:b/>
          <w:spacing w:val="-10"/>
        </w:rPr>
        <w:t>I</w:t>
      </w:r>
    </w:p>
    <w:p w:rsidR="00B63A76" w:rsidRDefault="00B63A76">
      <w:pPr>
        <w:pStyle w:val="Zkladntext"/>
        <w:spacing w:before="120"/>
        <w:rPr>
          <w:b/>
        </w:rPr>
      </w:pPr>
    </w:p>
    <w:p w:rsidR="00B63A76" w:rsidRDefault="00505B8F">
      <w:pPr>
        <w:jc w:val="center"/>
        <w:rPr>
          <w:b/>
        </w:rPr>
        <w:sectPr w:rsidR="00B63A76" w:rsidSect="00ED6FB9">
          <w:headerReference w:type="default" r:id="rId7"/>
          <w:type w:val="continuous"/>
          <w:pgSz w:w="11910" w:h="16840"/>
          <w:pgMar w:top="1417" w:right="1417" w:bottom="1417" w:left="1417" w:header="0" w:footer="872" w:gutter="0"/>
          <w:pgNumType w:start="1"/>
          <w:cols w:space="720"/>
          <w:docGrid w:linePitch="299"/>
        </w:sectPr>
      </w:pPr>
      <w:r>
        <w:rPr>
          <w:b/>
        </w:rPr>
        <w:t>SOUHRN ÚDAJŮ O PŘÍPRAVKU</w:t>
      </w:r>
    </w:p>
    <w:p w:rsidR="00B63A76" w:rsidRDefault="00505B8F">
      <w:pPr>
        <w:pStyle w:val="Odstavecseseznamem"/>
        <w:numPr>
          <w:ilvl w:val="0"/>
          <w:numId w:val="1"/>
        </w:numPr>
        <w:tabs>
          <w:tab w:val="left" w:pos="849"/>
        </w:tabs>
        <w:spacing w:before="79"/>
        <w:ind w:left="849"/>
        <w:rPr>
          <w:b/>
        </w:rPr>
      </w:pPr>
      <w:r>
        <w:rPr>
          <w:b/>
        </w:rPr>
        <w:lastRenderedPageBreak/>
        <w:t xml:space="preserve">NÁZEV VETERINÁRNÍHO LÉČIVÉHO PŘÍPRAVKU </w:t>
      </w:r>
    </w:p>
    <w:p w:rsidR="00B63A76" w:rsidRDefault="00505B8F">
      <w:pPr>
        <w:pStyle w:val="Zkladntext"/>
        <w:spacing w:before="240"/>
        <w:ind w:left="141"/>
      </w:pPr>
      <w:r>
        <w:t>OVIVERM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mg/ml</w:t>
      </w:r>
      <w:r>
        <w:rPr>
          <w:spacing w:val="-2"/>
        </w:rPr>
        <w:t xml:space="preserve"> </w:t>
      </w:r>
      <w:r w:rsidR="000966CE">
        <w:rPr>
          <w:spacing w:val="-2"/>
        </w:rPr>
        <w:t>per</w:t>
      </w:r>
      <w:r>
        <w:t>orální suspenze pro ovce</w:t>
      </w:r>
    </w:p>
    <w:p w:rsidR="00B63A76" w:rsidRDefault="00B63A76">
      <w:pPr>
        <w:pStyle w:val="Zkladntext"/>
      </w:pPr>
    </w:p>
    <w:p w:rsidR="00B63A76" w:rsidRDefault="00B63A76">
      <w:pPr>
        <w:pStyle w:val="Zkladntext"/>
      </w:pPr>
    </w:p>
    <w:p w:rsidR="00B63A76" w:rsidRDefault="00505B8F">
      <w:pPr>
        <w:pStyle w:val="Nadpis1"/>
        <w:numPr>
          <w:ilvl w:val="0"/>
          <w:numId w:val="1"/>
        </w:numPr>
        <w:tabs>
          <w:tab w:val="left" w:pos="849"/>
        </w:tabs>
        <w:spacing w:before="0"/>
        <w:ind w:left="849"/>
      </w:pPr>
      <w:r>
        <w:t xml:space="preserve">KVALITATIVNÍ A KVANTITATIVNÍ SLOŽENÍ </w:t>
      </w:r>
    </w:p>
    <w:p w:rsidR="00B63A76" w:rsidRDefault="00B63A76">
      <w:pPr>
        <w:pStyle w:val="Zkladntext"/>
        <w:rPr>
          <w:b/>
        </w:rPr>
      </w:pPr>
    </w:p>
    <w:p w:rsidR="00B63A76" w:rsidRDefault="000966CE">
      <w:pPr>
        <w:pStyle w:val="Zkladntext"/>
        <w:ind w:left="141"/>
        <w:rPr>
          <w:spacing w:val="-2"/>
        </w:rPr>
      </w:pPr>
      <w:r>
        <w:t>Každý</w:t>
      </w:r>
      <w:r w:rsidR="00505B8F">
        <w:rPr>
          <w:spacing w:val="-1"/>
        </w:rPr>
        <w:t xml:space="preserve"> </w:t>
      </w:r>
      <w:r w:rsidR="00505B8F">
        <w:t xml:space="preserve">ml </w:t>
      </w:r>
      <w:r w:rsidR="00505B8F">
        <w:rPr>
          <w:spacing w:val="-2"/>
        </w:rPr>
        <w:t>obsahuje:</w:t>
      </w:r>
    </w:p>
    <w:p w:rsidR="00B63A76" w:rsidRDefault="00B63A76">
      <w:pPr>
        <w:pStyle w:val="Zkladntext"/>
        <w:ind w:left="141"/>
      </w:pPr>
    </w:p>
    <w:p w:rsidR="00B63A76" w:rsidRDefault="00505B8F">
      <w:pPr>
        <w:pStyle w:val="Nadpis2"/>
      </w:pPr>
      <w:r>
        <w:t xml:space="preserve"> Léčivá látka</w:t>
      </w:r>
      <w:r>
        <w:rPr>
          <w:spacing w:val="-2"/>
        </w:rPr>
        <w:t>:</w:t>
      </w:r>
    </w:p>
    <w:p w:rsidR="00B63A76" w:rsidRDefault="000966CE">
      <w:pPr>
        <w:pStyle w:val="Zkladntext"/>
        <w:tabs>
          <w:tab w:val="left" w:pos="3232"/>
        </w:tabs>
        <w:ind w:left="198"/>
      </w:pPr>
      <w:r>
        <w:rPr>
          <w:spacing w:val="-2"/>
        </w:rPr>
        <w:t>Praziquantelum</w:t>
      </w:r>
      <w:r w:rsidR="00505B8F">
        <w:tab/>
        <w:t xml:space="preserve">25 </w:t>
      </w:r>
      <w:r w:rsidR="00505B8F">
        <w:rPr>
          <w:spacing w:val="-5"/>
        </w:rPr>
        <w:t>mg</w:t>
      </w:r>
    </w:p>
    <w:p w:rsidR="00B63A76" w:rsidRDefault="00B63A76">
      <w:pPr>
        <w:pStyle w:val="Zkladntext"/>
        <w:spacing w:before="30"/>
      </w:pPr>
    </w:p>
    <w:p w:rsidR="00B63A76" w:rsidRDefault="00505B8F">
      <w:pPr>
        <w:pStyle w:val="Nadpis2"/>
      </w:pPr>
      <w:r>
        <w:rPr>
          <w:spacing w:val="-2"/>
        </w:rPr>
        <w:t>Pomocné látky:</w:t>
      </w:r>
    </w:p>
    <w:p w:rsidR="00B63A76" w:rsidRDefault="00B63A76">
      <w:pPr>
        <w:pStyle w:val="Zkladntext"/>
        <w:spacing w:before="18"/>
        <w:rPr>
          <w:b/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101"/>
      </w:tblGrid>
      <w:tr w:rsidR="00B63A76">
        <w:trPr>
          <w:trHeight w:val="1011"/>
        </w:trPr>
        <w:tc>
          <w:tcPr>
            <w:tcW w:w="4796" w:type="dxa"/>
          </w:tcPr>
          <w:p w:rsidR="00B63A76" w:rsidRDefault="00505B8F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Kvalitativní složení pomocných látek a dalších složek</w:t>
            </w:r>
            <w:r>
              <w:rPr>
                <w:b/>
                <w:spacing w:val="-2"/>
              </w:rPr>
              <w:t>:</w:t>
            </w:r>
          </w:p>
        </w:tc>
        <w:tc>
          <w:tcPr>
            <w:tcW w:w="4101" w:type="dxa"/>
          </w:tcPr>
          <w:p w:rsidR="00B63A76" w:rsidRDefault="00505B8F">
            <w:pPr>
              <w:pStyle w:val="TableParagraph"/>
              <w:spacing w:before="0" w:line="250" w:lineRule="atLeast"/>
              <w:ind w:right="96"/>
              <w:jc w:val="both"/>
            </w:pPr>
            <w:r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BF5F3D">
            <w:pPr>
              <w:pStyle w:val="TableParagraph"/>
            </w:pPr>
            <w:r>
              <w:t>Natrium-p</w:t>
            </w:r>
            <w:r w:rsidR="00505B8F">
              <w:t>ropionát (E</w:t>
            </w:r>
            <w:r w:rsidR="00505B8F">
              <w:rPr>
                <w:spacing w:val="-5"/>
              </w:rPr>
              <w:t xml:space="preserve"> </w:t>
            </w:r>
            <w:r w:rsidR="00505B8F">
              <w:rPr>
                <w:spacing w:val="-4"/>
              </w:rPr>
              <w:t>281)</w:t>
            </w:r>
          </w:p>
        </w:tc>
        <w:tc>
          <w:tcPr>
            <w:tcW w:w="4101" w:type="dxa"/>
          </w:tcPr>
          <w:p w:rsidR="00B63A76" w:rsidRDefault="00505B8F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mg</w:t>
            </w: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0E1BF9">
            <w:pPr>
              <w:pStyle w:val="TableParagraph"/>
            </w:pPr>
            <w:r>
              <w:t>Natrium-b</w:t>
            </w:r>
            <w:r w:rsidR="00505B8F">
              <w:t>enzo</w:t>
            </w:r>
            <w:r>
              <w:t>át</w:t>
            </w:r>
            <w:r w:rsidR="00505B8F">
              <w:t xml:space="preserve"> (E</w:t>
            </w:r>
            <w:r w:rsidR="00505B8F">
              <w:rPr>
                <w:spacing w:val="-4"/>
              </w:rPr>
              <w:t xml:space="preserve"> 211)</w:t>
            </w:r>
          </w:p>
        </w:tc>
        <w:tc>
          <w:tcPr>
            <w:tcW w:w="4101" w:type="dxa"/>
          </w:tcPr>
          <w:p w:rsidR="00B63A76" w:rsidRDefault="00505B8F">
            <w:pPr>
              <w:pStyle w:val="TableParagraph"/>
            </w:pPr>
            <w:r>
              <w:t xml:space="preserve">2 </w:t>
            </w:r>
            <w:r>
              <w:rPr>
                <w:spacing w:val="-5"/>
              </w:rPr>
              <w:t>mg</w:t>
            </w: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</w:pPr>
            <w:r>
              <w:t>Sorbitan</w:t>
            </w:r>
            <w:r w:rsidR="00631980">
              <w:t>-</w:t>
            </w:r>
            <w:r>
              <w:t>oleát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</w:pPr>
            <w:r>
              <w:t xml:space="preserve">Polysorbát </w:t>
            </w:r>
            <w:r>
              <w:rPr>
                <w:spacing w:val="-5"/>
              </w:rPr>
              <w:t>80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</w:pPr>
            <w:r>
              <w:rPr>
                <w:spacing w:val="-2"/>
              </w:rPr>
              <w:t>Bentonit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631980">
            <w:pPr>
              <w:pStyle w:val="TableParagraph"/>
            </w:pPr>
            <w:r>
              <w:t>Monohydrát k</w:t>
            </w:r>
            <w:r w:rsidR="00505B8F">
              <w:t>yselin</w:t>
            </w:r>
            <w:r>
              <w:t>y</w:t>
            </w:r>
            <w:r w:rsidR="00505B8F">
              <w:t xml:space="preserve"> citronov</w:t>
            </w:r>
            <w:r>
              <w:t>é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</w:pPr>
            <w:r>
              <w:t xml:space="preserve">Xanthanová </w:t>
            </w:r>
            <w:r w:rsidR="00631980">
              <w:t>klovatina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</w:pPr>
            <w:r>
              <w:t>Propylenglykol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  <w:tr w:rsidR="00B63A76">
        <w:trPr>
          <w:trHeight w:val="252"/>
        </w:trPr>
        <w:tc>
          <w:tcPr>
            <w:tcW w:w="4796" w:type="dxa"/>
          </w:tcPr>
          <w:p w:rsidR="00B63A76" w:rsidRDefault="00505B8F">
            <w:pPr>
              <w:pStyle w:val="TableParagraph"/>
              <w:ind w:left="105"/>
            </w:pPr>
            <w:r>
              <w:t>Čištěná voda</w:t>
            </w:r>
          </w:p>
        </w:tc>
        <w:tc>
          <w:tcPr>
            <w:tcW w:w="4101" w:type="dxa"/>
          </w:tcPr>
          <w:p w:rsidR="00B63A76" w:rsidRDefault="00B63A76">
            <w:pPr>
              <w:pStyle w:val="TableParagraph"/>
              <w:spacing w:before="0" w:line="240" w:lineRule="auto"/>
              <w:ind w:left="0"/>
              <w:rPr>
                <w:sz w:val="18"/>
              </w:rPr>
            </w:pPr>
          </w:p>
        </w:tc>
      </w:tr>
    </w:tbl>
    <w:p w:rsidR="00B63A76" w:rsidRDefault="00B63A76">
      <w:pPr>
        <w:pStyle w:val="Zkladntext"/>
        <w:spacing w:before="188"/>
        <w:rPr>
          <w:b/>
        </w:rPr>
      </w:pPr>
    </w:p>
    <w:p w:rsidR="00B63A76" w:rsidRDefault="00505B8F">
      <w:pPr>
        <w:pStyle w:val="Zkladntext"/>
        <w:ind w:left="141"/>
      </w:pPr>
      <w:r>
        <w:t>Bílá</w:t>
      </w:r>
      <w:r>
        <w:rPr>
          <w:spacing w:val="-2"/>
        </w:rPr>
        <w:t xml:space="preserve"> suspenze.</w:t>
      </w:r>
    </w:p>
    <w:p w:rsidR="00B63A76" w:rsidRDefault="00B63A76">
      <w:pPr>
        <w:pStyle w:val="Zkladntext"/>
      </w:pPr>
    </w:p>
    <w:p w:rsidR="00B63A76" w:rsidRDefault="00B63A76">
      <w:pPr>
        <w:pStyle w:val="Zkladntext"/>
        <w:spacing w:before="54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849"/>
        </w:tabs>
        <w:spacing w:before="1"/>
        <w:ind w:left="849"/>
      </w:pPr>
      <w:r>
        <w:rPr>
          <w:spacing w:val="-2"/>
        </w:rPr>
        <w:t xml:space="preserve">KLINICKÉ INFORMACE 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spacing w:before="252"/>
        <w:ind w:left="850"/>
      </w:pPr>
      <w:r>
        <w:t xml:space="preserve">Cílové druhy zvířat 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505B8F" w:rsidP="00764985">
      <w:pPr>
        <w:pStyle w:val="Zkladntext"/>
        <w:ind w:left="129"/>
      </w:pPr>
      <w:r>
        <w:rPr>
          <w:spacing w:val="-2"/>
        </w:rPr>
        <w:t>Ovce.</w:t>
      </w: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905"/>
        </w:tabs>
        <w:ind w:left="905" w:hanging="776"/>
      </w:pPr>
      <w:r>
        <w:t xml:space="preserve">Indikace pro použití pro každý cílový druh zvířat 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E32BBD" w:rsidP="00764985">
      <w:pPr>
        <w:pStyle w:val="Zkladntext"/>
        <w:ind w:left="141"/>
        <w:rPr>
          <w:i/>
        </w:rPr>
      </w:pPr>
      <w:bookmarkStart w:id="0" w:name="_Hlk205374320"/>
      <w:r>
        <w:t>L</w:t>
      </w:r>
      <w:r w:rsidR="00505B8F">
        <w:t>éčb</w:t>
      </w:r>
      <w:r>
        <w:t>a</w:t>
      </w:r>
      <w:r w:rsidR="00505B8F">
        <w:t xml:space="preserve"> infestací </w:t>
      </w:r>
      <w:r w:rsidR="001724B8">
        <w:t xml:space="preserve">střeva </w:t>
      </w:r>
      <w:r w:rsidR="00505B8F">
        <w:t>dospěl</w:t>
      </w:r>
      <w:r w:rsidR="001724B8">
        <w:t>ci</w:t>
      </w:r>
      <w:r w:rsidR="00505B8F">
        <w:t xml:space="preserve"> </w:t>
      </w:r>
      <w:bookmarkEnd w:id="0"/>
      <w:r w:rsidR="00505B8F">
        <w:t xml:space="preserve">tasemnice </w:t>
      </w:r>
      <w:r w:rsidR="00505B8F">
        <w:rPr>
          <w:i/>
          <w:iCs/>
        </w:rPr>
        <w:t>Moniezia</w:t>
      </w:r>
      <w:r w:rsidR="00505B8F">
        <w:t xml:space="preserve"> spp.</w:t>
      </w:r>
    </w:p>
    <w:p w:rsidR="00B63A76" w:rsidRDefault="00B63A76" w:rsidP="00764985">
      <w:pPr>
        <w:pStyle w:val="Zkladntext"/>
        <w:rPr>
          <w:i/>
        </w:rPr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ind w:left="850"/>
      </w:pPr>
      <w:bookmarkStart w:id="1" w:name="3.3__Contraindications__"/>
      <w:bookmarkEnd w:id="1"/>
      <w:r>
        <w:rPr>
          <w:spacing w:val="-2"/>
        </w:rPr>
        <w:t>Kontraindikace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505B8F" w:rsidP="00764985">
      <w:pPr>
        <w:pStyle w:val="Zkladntext"/>
        <w:ind w:left="141"/>
      </w:pPr>
      <w:r>
        <w:t>Nepoužívat v případech přecitlivělosti na léčivou látku nebo na některou z pomocných látek</w:t>
      </w:r>
      <w:r>
        <w:rPr>
          <w:spacing w:val="-2"/>
        </w:rPr>
        <w:t>.</w:t>
      </w: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904"/>
        </w:tabs>
        <w:ind w:left="904" w:hanging="775"/>
      </w:pPr>
      <w:bookmarkStart w:id="2" w:name="3.4_Special_warnings__"/>
      <w:bookmarkEnd w:id="2"/>
      <w:r>
        <w:t>Zvláštní upozornění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FC66AB" w:rsidP="00764985">
      <w:pPr>
        <w:pStyle w:val="Zkladntext"/>
        <w:ind w:left="141"/>
        <w:jc w:val="both"/>
      </w:pPr>
      <w:r>
        <w:t>Nad</w:t>
      </w:r>
      <w:r w:rsidR="00505B8F">
        <w:t xml:space="preserve">bytečné </w:t>
      </w:r>
      <w:r>
        <w:t>po</w:t>
      </w:r>
      <w:r w:rsidR="00505B8F">
        <w:t>už</w:t>
      </w:r>
      <w:r>
        <w:t>it</w:t>
      </w:r>
      <w:r w:rsidR="00505B8F">
        <w:t xml:space="preserve">í antiparazitik nebo </w:t>
      </w:r>
      <w:r w:rsidR="00D47921">
        <w:t>použit</w:t>
      </w:r>
      <w:r w:rsidR="00505B8F">
        <w:t xml:space="preserve">í </w:t>
      </w:r>
      <w:r w:rsidR="00D47921">
        <w:t xml:space="preserve">v rozporu s </w:t>
      </w:r>
      <w:r w:rsidR="00505B8F">
        <w:t>pokyn</w:t>
      </w:r>
      <w:r w:rsidR="00D47921">
        <w:t>y</w:t>
      </w:r>
      <w:r w:rsidR="00505B8F">
        <w:t xml:space="preserve"> uvedený</w:t>
      </w:r>
      <w:r w:rsidR="00D47921">
        <w:t>mi</w:t>
      </w:r>
      <w:r w:rsidR="00505B8F">
        <w:t xml:space="preserve"> v </w:t>
      </w:r>
      <w:r w:rsidR="00D47921">
        <w:t>SPC</w:t>
      </w:r>
      <w:r w:rsidR="00505B8F">
        <w:t xml:space="preserve"> může zvýšit </w:t>
      </w:r>
      <w:bookmarkStart w:id="3" w:name="_Hlk201901721"/>
      <w:r w:rsidR="00505B8F">
        <w:t>selekční</w:t>
      </w:r>
      <w:r w:rsidR="00D47921">
        <w:t>m</w:t>
      </w:r>
      <w:r w:rsidR="00505B8F">
        <w:t xml:space="preserve"> tlak</w:t>
      </w:r>
      <w:r w:rsidR="00D47921">
        <w:t>em</w:t>
      </w:r>
      <w:r w:rsidR="00505B8F">
        <w:t xml:space="preserve"> rezistenc</w:t>
      </w:r>
      <w:r w:rsidR="00D47921">
        <w:t>i</w:t>
      </w:r>
      <w:r w:rsidR="00505B8F">
        <w:t xml:space="preserve"> </w:t>
      </w:r>
      <w:bookmarkEnd w:id="3"/>
      <w:r w:rsidR="00505B8F">
        <w:t>a vést ke snížení účinnosti.</w:t>
      </w:r>
      <w:r w:rsidR="00505B8F">
        <w:rPr>
          <w:spacing w:val="-2"/>
        </w:rPr>
        <w:t xml:space="preserve"> </w:t>
      </w:r>
      <w:r w:rsidR="00505B8F">
        <w:t xml:space="preserve">Rozhodnutí o použití </w:t>
      </w:r>
      <w:r w:rsidR="00D47921">
        <w:t xml:space="preserve">veterinárního léčivého </w:t>
      </w:r>
      <w:r w:rsidR="00505B8F">
        <w:t>přípravku by mělo být založeno na potvrzení druhu parazita a</w:t>
      </w:r>
      <w:r w:rsidR="00D47921">
        <w:t xml:space="preserve"> parazitární</w:t>
      </w:r>
      <w:r w:rsidR="00505B8F">
        <w:t xml:space="preserve"> zátěž</w:t>
      </w:r>
      <w:r w:rsidR="00D47921">
        <w:t>i</w:t>
      </w:r>
      <w:r w:rsidR="00505B8F">
        <w:t xml:space="preserve"> nebo na riziku infestace na základě </w:t>
      </w:r>
      <w:r w:rsidR="00D47921">
        <w:t xml:space="preserve">jeho </w:t>
      </w:r>
      <w:r w:rsidR="00505B8F">
        <w:t xml:space="preserve">epidemiologických </w:t>
      </w:r>
      <w:r w:rsidR="00D47921">
        <w:t>informací, a to</w:t>
      </w:r>
      <w:r w:rsidR="00505B8F">
        <w:t xml:space="preserve"> u každého stáda.</w:t>
      </w:r>
    </w:p>
    <w:p w:rsidR="00B63A76" w:rsidRDefault="00B63A76" w:rsidP="00764985">
      <w:pPr>
        <w:pStyle w:val="Zkladntext"/>
        <w:spacing w:before="38"/>
      </w:pPr>
    </w:p>
    <w:p w:rsidR="00B63A76" w:rsidRDefault="00505B8F" w:rsidP="00764985">
      <w:pPr>
        <w:pStyle w:val="Zkladntext"/>
        <w:ind w:left="141"/>
        <w:jc w:val="both"/>
      </w:pPr>
      <w:r>
        <w:t xml:space="preserve">Opakované užívání po delší dobu, zejména při užívání </w:t>
      </w:r>
      <w:r w:rsidR="00D47921">
        <w:t>léčivých</w:t>
      </w:r>
      <w:r>
        <w:t xml:space="preserve"> látek</w:t>
      </w:r>
      <w:r w:rsidR="00D47921">
        <w:t xml:space="preserve"> ze stejné skupiny</w:t>
      </w:r>
      <w:r>
        <w:t xml:space="preserve">, zvyšuje riziko </w:t>
      </w:r>
      <w:r>
        <w:lastRenderedPageBreak/>
        <w:t xml:space="preserve">vzniku rezistence. </w:t>
      </w:r>
      <w:r w:rsidR="00D47921">
        <w:t xml:space="preserve">V rámci stáda je </w:t>
      </w:r>
      <w:r>
        <w:t>udržov</w:t>
      </w:r>
      <w:r w:rsidR="00D47921">
        <w:t>ání citlivých</w:t>
      </w:r>
      <w:r>
        <w:t xml:space="preserve"> refugi</w:t>
      </w:r>
      <w:r w:rsidR="00D47921">
        <w:t>í (vnímavých jedinců parazitů) pro snížení tohoto rizika nezbytné</w:t>
      </w:r>
      <w:r>
        <w:t>.</w:t>
      </w:r>
    </w:p>
    <w:p w:rsidR="00B63A76" w:rsidRDefault="00505B8F" w:rsidP="00764985">
      <w:pPr>
        <w:pStyle w:val="Zkladntext"/>
        <w:ind w:left="142"/>
        <w:jc w:val="both"/>
      </w:pPr>
      <w:r>
        <w:t xml:space="preserve">Je třeba se vyhnout </w:t>
      </w:r>
      <w:r w:rsidR="00D47921">
        <w:t xml:space="preserve">ošetřování založenému na </w:t>
      </w:r>
      <w:r>
        <w:t>systematicky interval</w:t>
      </w:r>
      <w:r w:rsidR="00D47921">
        <w:t>ovém podávání a ošetřování</w:t>
      </w:r>
      <w:r>
        <w:t xml:space="preserve"> celého stáda. </w:t>
      </w:r>
      <w:r w:rsidR="00D47921">
        <w:t>Místo toho, p</w:t>
      </w:r>
      <w:r>
        <w:t xml:space="preserve">okud je to </w:t>
      </w:r>
      <w:r w:rsidR="00D47921">
        <w:t>proveditel</w:t>
      </w:r>
      <w:r>
        <w:t>né,</w:t>
      </w:r>
      <w:r w:rsidR="00D47921">
        <w:t xml:space="preserve"> je třeba provádět ošetření</w:t>
      </w:r>
      <w:r>
        <w:t xml:space="preserve"> pouze vybran</w:t>
      </w:r>
      <w:r w:rsidR="00D47921">
        <w:t>ých</w:t>
      </w:r>
      <w:r>
        <w:t xml:space="preserve"> jednotliv</w:t>
      </w:r>
      <w:r w:rsidR="00D47921">
        <w:t>ých</w:t>
      </w:r>
      <w:r>
        <w:t xml:space="preserve"> zvířat nebo podskupiny (cílen</w:t>
      </w:r>
      <w:r w:rsidR="00D47921">
        <w:t>é</w:t>
      </w:r>
      <w:r>
        <w:t xml:space="preserve"> selektivní </w:t>
      </w:r>
      <w:r w:rsidR="00D47921">
        <w:t>ošetření</w:t>
      </w:r>
      <w:r>
        <w:t xml:space="preserve">). To by mělo být kombinováno s </w:t>
      </w:r>
      <w:r w:rsidR="00A95CFD">
        <w:t xml:space="preserve">vhodnými </w:t>
      </w:r>
      <w:r>
        <w:t>opatřeními v oblasti chovu a pastvy. Pokyny pro každé konkrétní stádo by měl</w:t>
      </w:r>
      <w:r w:rsidR="00A95CFD">
        <w:t>y být vyžádány od</w:t>
      </w:r>
      <w:r>
        <w:t xml:space="preserve"> odpovědn</w:t>
      </w:r>
      <w:r w:rsidR="00A95CFD">
        <w:t>ého</w:t>
      </w:r>
      <w:r>
        <w:t xml:space="preserve"> veterinární</w:t>
      </w:r>
      <w:r w:rsidR="00A95CFD">
        <w:t>ho</w:t>
      </w:r>
      <w:r>
        <w:t xml:space="preserve"> lékař</w:t>
      </w:r>
      <w:r w:rsidR="00A95CFD">
        <w:t>e</w:t>
      </w:r>
      <w:r>
        <w:t>.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08"/>
        </w:tabs>
        <w:ind w:left="808" w:hanging="667"/>
        <w:jc w:val="both"/>
      </w:pPr>
      <w:r>
        <w:t xml:space="preserve">Zvláštní opatření pro použití 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rPr>
          <w:u w:val="single"/>
        </w:rPr>
        <w:t>Zvláštní opatření pro bezpečné použití u cílových druhů zvířat: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t>Neuplatňuje se</w:t>
      </w:r>
      <w:r>
        <w:rPr>
          <w:spacing w:val="-2"/>
        </w:rPr>
        <w:t>.</w:t>
      </w:r>
    </w:p>
    <w:p w:rsidR="00B63A76" w:rsidRDefault="00B63A76" w:rsidP="00764985">
      <w:pPr>
        <w:pStyle w:val="Zkladntext"/>
        <w:spacing w:before="27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rPr>
          <w:u w:val="single"/>
        </w:rPr>
        <w:t>Zvláštní opatření pro osobu, která podává veterinární léčivý přípravek zvířatům</w:t>
      </w:r>
      <w:r>
        <w:rPr>
          <w:spacing w:val="-2"/>
          <w:u w:val="single"/>
        </w:rPr>
        <w:t>:</w:t>
      </w:r>
    </w:p>
    <w:p w:rsidR="00B63A76" w:rsidRDefault="00B63A76" w:rsidP="00764985">
      <w:pPr>
        <w:pStyle w:val="Zkladntext"/>
        <w:spacing w:before="27"/>
        <w:jc w:val="both"/>
      </w:pPr>
    </w:p>
    <w:p w:rsidR="00B63A76" w:rsidRDefault="00505B8F" w:rsidP="00764985">
      <w:pPr>
        <w:pStyle w:val="Zkladntext"/>
        <w:spacing w:line="266" w:lineRule="auto"/>
        <w:ind w:left="141"/>
        <w:jc w:val="both"/>
      </w:pPr>
      <w:r>
        <w:t>Tento přípravek obsahuje propylenglykol, polysorbát a benzoan sodný, které mohou u citlivých osob způsobit alergické reakce.</w:t>
      </w:r>
    </w:p>
    <w:p w:rsidR="00B63A76" w:rsidRDefault="00B63A76" w:rsidP="00764985">
      <w:pPr>
        <w:pStyle w:val="Zkladntext"/>
        <w:spacing w:before="25"/>
        <w:jc w:val="both"/>
      </w:pPr>
    </w:p>
    <w:p w:rsidR="00B63A76" w:rsidRDefault="00505B8F" w:rsidP="00764985">
      <w:pPr>
        <w:pStyle w:val="Zkladntext"/>
        <w:spacing w:line="266" w:lineRule="auto"/>
        <w:ind w:left="141"/>
        <w:jc w:val="both"/>
      </w:pPr>
      <w:r>
        <w:t>Tento přípravek může po kontaktu způsobit podráždění očí a kůže.</w:t>
      </w:r>
      <w:r>
        <w:rPr>
          <w:spacing w:val="40"/>
        </w:rPr>
        <w:t xml:space="preserve"> </w:t>
      </w:r>
      <w:r>
        <w:t>Zabraňte kontaktu s kůží a očima a případné potřísnění ihned vypláchněte vodou.</w:t>
      </w:r>
    </w:p>
    <w:p w:rsidR="00B63A76" w:rsidRDefault="00B63A76" w:rsidP="00764985">
      <w:pPr>
        <w:pStyle w:val="Zkladntext"/>
        <w:spacing w:before="25"/>
        <w:jc w:val="both"/>
      </w:pPr>
    </w:p>
    <w:p w:rsidR="00B63A76" w:rsidRDefault="00505B8F" w:rsidP="00764985">
      <w:pPr>
        <w:pStyle w:val="Zkladntext"/>
        <w:spacing w:before="1" w:line="266" w:lineRule="auto"/>
        <w:ind w:left="141"/>
        <w:jc w:val="both"/>
      </w:pPr>
      <w:r>
        <w:t>Pokud se u Vás objeví příznaky alergie nebo pokud podráždění přetrvává, vyhledejte lékařskou pomoc a ukažte příbalov</w:t>
      </w:r>
      <w:r w:rsidR="00795196">
        <w:t>ou informaci</w:t>
      </w:r>
      <w:r>
        <w:t xml:space="preserve"> nebo etiketu</w:t>
      </w:r>
      <w:r w:rsidR="00795196" w:rsidRPr="00795196">
        <w:t xml:space="preserve"> </w:t>
      </w:r>
      <w:r w:rsidR="00795196">
        <w:t>lékaři</w:t>
      </w:r>
      <w:r>
        <w:t>.</w:t>
      </w:r>
    </w:p>
    <w:p w:rsidR="00B63A76" w:rsidRDefault="00B63A76" w:rsidP="00764985">
      <w:pPr>
        <w:pStyle w:val="Zkladntext"/>
        <w:spacing w:before="25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t>Po použití si umyjte ruce</w:t>
      </w:r>
      <w:r>
        <w:rPr>
          <w:spacing w:val="-4"/>
        </w:rPr>
        <w:t>.</w:t>
      </w:r>
    </w:p>
    <w:p w:rsidR="00B63A76" w:rsidRDefault="00B63A76" w:rsidP="00764985">
      <w:pPr>
        <w:pStyle w:val="Zkladntext"/>
        <w:spacing w:before="27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rPr>
          <w:u w:val="single"/>
        </w:rPr>
        <w:t>Zvláštní opatření pro ochranu životního prostředí</w:t>
      </w:r>
      <w:r>
        <w:rPr>
          <w:spacing w:val="-2"/>
          <w:u w:val="single"/>
        </w:rPr>
        <w:t>: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t>Neuplatňuje se</w:t>
      </w:r>
      <w:r>
        <w:rPr>
          <w:spacing w:val="-2"/>
        </w:rPr>
        <w:t>.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ind w:left="850"/>
        <w:jc w:val="both"/>
      </w:pPr>
      <w:bookmarkStart w:id="4" w:name="3.6__Adverse_events__"/>
      <w:bookmarkEnd w:id="4"/>
      <w:r>
        <w:t xml:space="preserve">Nežádoucí účinky 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rPr>
          <w:spacing w:val="-2"/>
        </w:rPr>
        <w:t>Ovce:</w:t>
      </w:r>
    </w:p>
    <w:p w:rsidR="00B63A76" w:rsidRDefault="00505B8F" w:rsidP="00764985">
      <w:pPr>
        <w:pStyle w:val="Zkladntext"/>
        <w:ind w:left="141"/>
        <w:jc w:val="both"/>
      </w:pPr>
      <w:r>
        <w:t>Nejsou známy</w:t>
      </w:r>
      <w:r>
        <w:rPr>
          <w:spacing w:val="-2"/>
        </w:rPr>
        <w:t>.</w:t>
      </w:r>
    </w:p>
    <w:p w:rsidR="00B63A76" w:rsidRDefault="00B63A76" w:rsidP="00764985">
      <w:pPr>
        <w:pStyle w:val="Zkladntext"/>
        <w:spacing w:before="27"/>
        <w:jc w:val="both"/>
      </w:pPr>
    </w:p>
    <w:p w:rsidR="00B63A76" w:rsidRDefault="00505B8F" w:rsidP="00764985">
      <w:pPr>
        <w:pStyle w:val="Zkladntext"/>
        <w:spacing w:line="266" w:lineRule="auto"/>
        <w:ind w:left="141"/>
        <w:jc w:val="both"/>
      </w:pPr>
      <w: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spacing w:before="250"/>
        <w:ind w:left="850"/>
        <w:jc w:val="both"/>
      </w:pPr>
      <w:r>
        <w:t>Použití v průběhu březosti, laktace nebo snášky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rPr>
          <w:spacing w:val="-2"/>
          <w:u w:val="single"/>
        </w:rPr>
        <w:t>Březost:</w:t>
      </w:r>
    </w:p>
    <w:p w:rsidR="00B63A76" w:rsidRDefault="00505B8F" w:rsidP="00764985">
      <w:pPr>
        <w:pStyle w:val="Zkladntext"/>
        <w:ind w:left="141"/>
        <w:jc w:val="both"/>
      </w:pPr>
      <w:r>
        <w:t>Lze použít během březosti.</w:t>
      </w:r>
    </w:p>
    <w:p w:rsidR="00B63A76" w:rsidRDefault="00505B8F" w:rsidP="00764985">
      <w:pPr>
        <w:pStyle w:val="Zkladntext"/>
        <w:ind w:left="141"/>
        <w:jc w:val="both"/>
      </w:pPr>
      <w:r>
        <w:t>Laboratorní studie u ovcí nepodaly důkaz o teratogenním, fetotoxickém účinku a maternální toxicitě, ani o toxickém účinku u novorozených jehňat.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ind w:left="850"/>
        <w:jc w:val="both"/>
      </w:pPr>
      <w:r>
        <w:t xml:space="preserve">Interakce s jinými léčivými přípravky a další formy interakce 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29"/>
        <w:jc w:val="both"/>
      </w:pPr>
      <w:r>
        <w:t>Nejsou známy</w:t>
      </w:r>
      <w:r>
        <w:rPr>
          <w:spacing w:val="-2"/>
        </w:rPr>
        <w:t>.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50"/>
        </w:tabs>
        <w:ind w:left="850"/>
        <w:jc w:val="both"/>
      </w:pPr>
      <w:bookmarkStart w:id="5" w:name="3.9_Administration_routes_and_dosage__"/>
      <w:bookmarkEnd w:id="5"/>
      <w:r>
        <w:t xml:space="preserve">Cesty podání a dávkování 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t>Jednorázové perorální podání</w:t>
      </w:r>
      <w:r>
        <w:rPr>
          <w:spacing w:val="-4"/>
        </w:rPr>
        <w:t>.</w:t>
      </w:r>
    </w:p>
    <w:p w:rsidR="00B63A76" w:rsidRDefault="00505B8F" w:rsidP="00764985">
      <w:pPr>
        <w:pStyle w:val="Zkladntext"/>
        <w:spacing w:before="79"/>
        <w:ind w:left="141"/>
        <w:jc w:val="both"/>
      </w:pPr>
      <w:r>
        <w:t>Před použitím dobře protřepejte</w:t>
      </w:r>
      <w:r>
        <w:rPr>
          <w:spacing w:val="-4"/>
        </w:rPr>
        <w:t>.</w:t>
      </w:r>
    </w:p>
    <w:p w:rsidR="00B63A76" w:rsidRDefault="00505B8F" w:rsidP="00764985">
      <w:pPr>
        <w:pStyle w:val="Zkladntext"/>
        <w:spacing w:before="253"/>
        <w:ind w:left="141"/>
        <w:jc w:val="both"/>
      </w:pPr>
      <w:r>
        <w:t xml:space="preserve">Dávka je 3,75 mg prazikvantelu/kg živé hmotnosti. To odpovídá 3 ml </w:t>
      </w:r>
      <w:r w:rsidR="00F74FCD">
        <w:t>veterinárního léčivého přípravku/</w:t>
      </w:r>
      <w:r>
        <w:t>20 kg živé hmotnosti.</w:t>
      </w:r>
    </w:p>
    <w:p w:rsidR="00B63A76" w:rsidRDefault="00505B8F" w:rsidP="00764985">
      <w:pPr>
        <w:pStyle w:val="Zkladntext"/>
        <w:spacing w:before="120"/>
        <w:ind w:left="141"/>
        <w:jc w:val="both"/>
      </w:pPr>
      <w:r>
        <w:t xml:space="preserve">Aplikace se provádí pomocí automatického </w:t>
      </w:r>
      <w:r w:rsidR="00EA23F9">
        <w:t>per</w:t>
      </w:r>
      <w:r>
        <w:t>orálního aplikátoru (dren</w:t>
      </w:r>
      <w:r w:rsidR="00EA23F9">
        <w:t>cher</w:t>
      </w:r>
      <w:r>
        <w:t>), což umožňuje jednoduché a bezpečné podání suspenze. Otvor v hrdle lahve upravte pro pohodlné připojení hadičky k dren</w:t>
      </w:r>
      <w:r w:rsidR="00EA23F9">
        <w:t>cheru</w:t>
      </w:r>
      <w:r>
        <w:t>.</w:t>
      </w:r>
    </w:p>
    <w:p w:rsidR="00B63A76" w:rsidRDefault="00505B8F" w:rsidP="00764985">
      <w:pPr>
        <w:pStyle w:val="Zkladntext"/>
        <w:spacing w:before="253"/>
        <w:ind w:left="141"/>
        <w:jc w:val="both"/>
      </w:pPr>
      <w:r>
        <w:t>Poddávkování by mohlo vést k neúčinnému použití a mohlo by podpořit vznik rezistence.</w:t>
      </w:r>
    </w:p>
    <w:p w:rsidR="00B63A76" w:rsidRDefault="00505B8F" w:rsidP="00764985">
      <w:pPr>
        <w:pStyle w:val="Zkladntext"/>
        <w:spacing w:before="120"/>
        <w:ind w:left="141"/>
        <w:jc w:val="both"/>
      </w:pPr>
      <w:r>
        <w:t xml:space="preserve">Pro zajištění správného dávkování </w:t>
      </w:r>
      <w:r w:rsidR="00F74FCD">
        <w:t>by měla být</w:t>
      </w:r>
      <w:r>
        <w:t xml:space="preserve"> co nejpřesněji </w:t>
      </w:r>
      <w:r w:rsidR="00F74FCD">
        <w:t>stanovena</w:t>
      </w:r>
      <w:r>
        <w:t xml:space="preserve"> živ</w:t>
      </w:r>
      <w:r w:rsidR="00F74FCD">
        <w:t>á</w:t>
      </w:r>
      <w:r>
        <w:t xml:space="preserve"> hmotnost. Pokud</w:t>
      </w:r>
      <w:r w:rsidR="00F74FCD">
        <w:t xml:space="preserve"> zvířata</w:t>
      </w:r>
      <w:r>
        <w:t xml:space="preserve"> mají být léčena hromadně, měly by být vytvořeny přiměřeně homogenní skupiny a všem zvířatům ve skupině by měla být podá</w:t>
      </w:r>
      <w:r w:rsidR="00F74FCD">
        <w:t>vá</w:t>
      </w:r>
      <w:r>
        <w:t>na dávka odpovídající nejtěžšímu z</w:t>
      </w:r>
      <w:r w:rsidR="00F74FCD">
        <w:t>vířeti</w:t>
      </w:r>
      <w:r>
        <w:t>.</w:t>
      </w:r>
    </w:p>
    <w:p w:rsidR="00B63A76" w:rsidRDefault="00505B8F" w:rsidP="00764985">
      <w:pPr>
        <w:pStyle w:val="Zkladntext"/>
        <w:spacing w:before="120"/>
        <w:ind w:left="141"/>
        <w:jc w:val="both"/>
      </w:pPr>
      <w:r>
        <w:t xml:space="preserve">Přesnost dávkovacího zařízení by měla být </w:t>
      </w:r>
      <w:r w:rsidR="00F74FCD">
        <w:t>důkladně kontrolována</w:t>
      </w:r>
      <w:r>
        <w:t>.</w:t>
      </w:r>
    </w:p>
    <w:p w:rsidR="00B63A76" w:rsidRDefault="00B63A76" w:rsidP="00764985">
      <w:pPr>
        <w:pStyle w:val="Zkladntext"/>
        <w:spacing w:before="119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49"/>
        </w:tabs>
        <w:spacing w:before="1"/>
        <w:ind w:left="849" w:hanging="708"/>
        <w:jc w:val="both"/>
      </w:pPr>
      <w:bookmarkStart w:id="6" w:name="3.10_Symptoms_of_overdose_(and_where_app"/>
      <w:bookmarkEnd w:id="6"/>
      <w:r>
        <w:t>Příznaky předávkování (a kde je relevantní, první pomoc a antidota</w:t>
      </w:r>
      <w:r>
        <w:rPr>
          <w:spacing w:val="-2"/>
        </w:rPr>
        <w:t>)</w:t>
      </w:r>
    </w:p>
    <w:p w:rsidR="00B63A76" w:rsidRDefault="00505B8F" w:rsidP="00764985">
      <w:pPr>
        <w:pStyle w:val="Zkladntext"/>
        <w:spacing w:before="253"/>
        <w:ind w:left="141"/>
        <w:jc w:val="both"/>
      </w:pPr>
      <w:r>
        <w:t>Po podání pětinásobku doporučené dávky prazikvantelu nebyly zaznamenány žádné nežádoucí účinky.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49"/>
        </w:tabs>
        <w:spacing w:before="253"/>
        <w:ind w:left="849" w:hanging="710"/>
        <w:jc w:val="both"/>
      </w:pPr>
      <w:r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:rsidR="00B63A76" w:rsidRDefault="00505B8F" w:rsidP="00764985">
      <w:pPr>
        <w:pStyle w:val="Zkladntext"/>
        <w:spacing w:before="253"/>
        <w:ind w:left="139"/>
        <w:jc w:val="both"/>
      </w:pPr>
      <w:r>
        <w:t>Neuplatňuje se</w:t>
      </w:r>
      <w:r>
        <w:rPr>
          <w:spacing w:val="-2"/>
        </w:rPr>
        <w:t>.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849"/>
        </w:tabs>
        <w:spacing w:before="253"/>
        <w:ind w:left="849" w:hanging="710"/>
        <w:jc w:val="both"/>
      </w:pPr>
      <w:r>
        <w:t xml:space="preserve">Ochranné lhůty </w:t>
      </w:r>
    </w:p>
    <w:p w:rsidR="00B63A76" w:rsidRDefault="00505B8F" w:rsidP="00764985">
      <w:pPr>
        <w:pStyle w:val="Zkladntext"/>
        <w:spacing w:before="253"/>
        <w:ind w:left="141"/>
        <w:jc w:val="both"/>
      </w:pPr>
      <w:r>
        <w:t>Maso:</w:t>
      </w:r>
      <w:r>
        <w:rPr>
          <w:spacing w:val="-2"/>
        </w:rPr>
        <w:t xml:space="preserve"> </w:t>
      </w:r>
      <w:r w:rsidR="00D34DF5">
        <w:rPr>
          <w:spacing w:val="-2"/>
        </w:rPr>
        <w:t>Bez ochranných lhůt.</w:t>
      </w:r>
    </w:p>
    <w:p w:rsidR="00B63A76" w:rsidRDefault="00505B8F" w:rsidP="00764985">
      <w:pPr>
        <w:pStyle w:val="Zkladntext"/>
        <w:ind w:left="141"/>
        <w:jc w:val="both"/>
      </w:pPr>
      <w:r>
        <w:t>Mléko:</w:t>
      </w:r>
      <w:r>
        <w:rPr>
          <w:spacing w:val="-2"/>
        </w:rPr>
        <w:t xml:space="preserve"> </w:t>
      </w:r>
      <w:r w:rsidR="00D34DF5">
        <w:rPr>
          <w:spacing w:val="-2"/>
        </w:rPr>
        <w:t>Bez ochranných lhůt</w:t>
      </w:r>
      <w:r>
        <w:rPr>
          <w:spacing w:val="-2"/>
        </w:rPr>
        <w:t>.</w:t>
      </w:r>
    </w:p>
    <w:p w:rsidR="00B63A76" w:rsidRDefault="00B63A76" w:rsidP="00764985">
      <w:pPr>
        <w:pStyle w:val="Zkladntext"/>
        <w:spacing w:before="252"/>
        <w:jc w:val="both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708"/>
        </w:tabs>
        <w:spacing w:before="1"/>
        <w:ind w:left="708" w:hanging="578"/>
        <w:jc w:val="both"/>
      </w:pPr>
      <w:bookmarkStart w:id="7" w:name="4.__PHARMACOLOGICAL_INFORMATION__"/>
      <w:bookmarkEnd w:id="7"/>
      <w:r>
        <w:t>FARMAKOLOGICKÉ INFORMACE</w:t>
      </w:r>
      <w:r>
        <w:rPr>
          <w:b w:val="0"/>
        </w:rPr>
        <w:t xml:space="preserve"> </w:t>
      </w:r>
    </w:p>
    <w:p w:rsidR="00B63A76" w:rsidRDefault="00505B8F" w:rsidP="00764985">
      <w:pPr>
        <w:pStyle w:val="Odstavecseseznamem"/>
        <w:numPr>
          <w:ilvl w:val="1"/>
          <w:numId w:val="1"/>
        </w:numPr>
        <w:tabs>
          <w:tab w:val="left" w:pos="708"/>
        </w:tabs>
        <w:spacing w:before="252"/>
        <w:ind w:left="708" w:hanging="569"/>
        <w:jc w:val="both"/>
      </w:pPr>
      <w:r>
        <w:rPr>
          <w:b/>
        </w:rPr>
        <w:t>ATCvet</w:t>
      </w:r>
      <w:r>
        <w:rPr>
          <w:b/>
          <w:spacing w:val="-3"/>
        </w:rPr>
        <w:t xml:space="preserve"> </w:t>
      </w:r>
      <w:r>
        <w:rPr>
          <w:b/>
        </w:rPr>
        <w:t xml:space="preserve">kód: </w:t>
      </w:r>
      <w:r>
        <w:rPr>
          <w:spacing w:val="-2"/>
        </w:rPr>
        <w:t>QP52AA01</w:t>
      </w:r>
    </w:p>
    <w:p w:rsidR="00B63A76" w:rsidRDefault="00B63A76" w:rsidP="00764985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ind w:left="708" w:hanging="579"/>
        <w:jc w:val="both"/>
      </w:pPr>
      <w:bookmarkStart w:id="8" w:name="4.2_Pharmacodynamics__"/>
      <w:bookmarkEnd w:id="8"/>
      <w:r>
        <w:rPr>
          <w:spacing w:val="-2"/>
        </w:rPr>
        <w:t>Farmakodynamika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t>Prazi</w:t>
      </w:r>
      <w:r w:rsidR="001724B8">
        <w:t>kv</w:t>
      </w:r>
      <w:r>
        <w:t>antel, částečně hydrogenovaný derivát pyrazinoisocholinu, je anthelmintikum</w:t>
      </w:r>
      <w:r>
        <w:rPr>
          <w:spacing w:val="-2"/>
        </w:rPr>
        <w:t>.</w:t>
      </w:r>
    </w:p>
    <w:p w:rsidR="00B63A76" w:rsidRDefault="00505B8F" w:rsidP="00764985">
      <w:pPr>
        <w:pStyle w:val="Zkladntext"/>
        <w:spacing w:before="120"/>
        <w:ind w:left="141"/>
        <w:jc w:val="both"/>
      </w:pPr>
      <w:r>
        <w:t>Spektrum účinnosti prazi</w:t>
      </w:r>
      <w:r w:rsidR="001724B8">
        <w:t>kv</w:t>
      </w:r>
      <w:r>
        <w:t xml:space="preserve">antelu zahrnuje všechny běžné druhy tasemnic rodu </w:t>
      </w:r>
      <w:r>
        <w:rPr>
          <w:i/>
          <w:iCs/>
        </w:rPr>
        <w:t>Moniezia</w:t>
      </w:r>
      <w:r>
        <w:t xml:space="preserve"> u ovcí. Prazikvantel působí proti zralým vývojovým stádiím těchto parazitů vyskytujících se ve střevě ovcí. </w:t>
      </w:r>
      <w:r w:rsidR="003C6701">
        <w:t>Prazikvantel je</w:t>
      </w:r>
      <w:r>
        <w:t xml:space="preserve"> velmi rychle resorb</w:t>
      </w:r>
      <w:r w:rsidR="003C6701">
        <w:t>ován</w:t>
      </w:r>
      <w:r>
        <w:t xml:space="preserve"> povrchem těla</w:t>
      </w:r>
      <w:r w:rsidR="003C6701">
        <w:t xml:space="preserve"> těchto parazitů</w:t>
      </w:r>
      <w:r>
        <w:t xml:space="preserve"> a </w:t>
      </w:r>
      <w:r w:rsidR="003C6701">
        <w:t xml:space="preserve">následně </w:t>
      </w:r>
      <w:r>
        <w:t xml:space="preserve">pak v parazitech rovnoměrně distribuován. </w:t>
      </w:r>
      <w:r>
        <w:rPr>
          <w:i/>
          <w:iCs/>
        </w:rPr>
        <w:t>In vitro</w:t>
      </w:r>
      <w:r>
        <w:t xml:space="preserve"> a </w:t>
      </w:r>
      <w:r>
        <w:rPr>
          <w:i/>
          <w:iCs/>
        </w:rPr>
        <w:t>in vivo</w:t>
      </w:r>
      <w:r>
        <w:t xml:space="preserve"> rychle dochází k těžkému poškození integumentu parazita a následné kontrakci a paralýze parazitů. K tomuto rychlému nástupu účinku dochází v důsledku toho, že prazikvantel způsobuje u parazitů změny permeability membrán pro </w:t>
      </w:r>
      <w:r w:rsidR="003C6701">
        <w:t>vápenaté ionty</w:t>
      </w:r>
      <w:r>
        <w:t xml:space="preserve">, což vede k poruše </w:t>
      </w:r>
      <w:r w:rsidR="003C6701">
        <w:t>metabolismu</w:t>
      </w:r>
      <w:r>
        <w:t xml:space="preserve"> parazita.</w:t>
      </w:r>
    </w:p>
    <w:p w:rsidR="00B63A76" w:rsidRDefault="00B63A76" w:rsidP="00577FBB">
      <w:pPr>
        <w:pStyle w:val="Zkladntext"/>
        <w:jc w:val="both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ind w:left="708" w:hanging="579"/>
        <w:jc w:val="both"/>
      </w:pPr>
      <w:bookmarkStart w:id="9" w:name="4.3_Pharmacokinetics_"/>
      <w:bookmarkEnd w:id="9"/>
      <w:r>
        <w:t>Farmakokinetika</w:t>
      </w:r>
    </w:p>
    <w:p w:rsidR="00B63A76" w:rsidRDefault="00B63A76" w:rsidP="00764985">
      <w:pPr>
        <w:pStyle w:val="Zkladntext"/>
        <w:jc w:val="both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t xml:space="preserve">Prazikvantel se po </w:t>
      </w:r>
      <w:r w:rsidR="001724B8">
        <w:t>per</w:t>
      </w:r>
      <w:r>
        <w:t xml:space="preserve">orálním podání ovcím velmi rychle a téměř úplně vstřebává v žaludku a v tenkém střevě. Maximální hladiny v séru je dosahováno během 0,3 až 2 hodin. Prazikvantel je rychle distribuován do všech orgánů. Poločas eliminace </w:t>
      </w:r>
      <w:r w:rsidR="003C6701">
        <w:t>14C-</w:t>
      </w:r>
      <w:r>
        <w:t xml:space="preserve">prazikvantelu  a jeho metabolitů činí u ovce 2 </w:t>
      </w:r>
      <w:r>
        <w:lastRenderedPageBreak/>
        <w:t>až 3 hodiny. Prazikvantel je rychle metabolizován v játrech. Kromě jiných metabolitů se jako hlavní metabolit vyskytuje 4-hydroxy-cyklohexyl derivát prazikvantelu. Prazikvantel je kompletně vyloučen z těla do 48 hodin ve formě svých metabolitů, a to ze 40 až 71</w:t>
      </w:r>
      <w:r w:rsidR="00EA23F9">
        <w:t xml:space="preserve"> </w:t>
      </w:r>
      <w:r>
        <w:t>% močí a žlučí</w:t>
      </w:r>
      <w:r w:rsidR="003C6701">
        <w:t xml:space="preserve"> a</w:t>
      </w:r>
      <w:r>
        <w:t xml:space="preserve"> ze 13 až 30</w:t>
      </w:r>
      <w:r w:rsidR="00EA23F9">
        <w:t xml:space="preserve"> </w:t>
      </w:r>
      <w:r>
        <w:t xml:space="preserve">% </w:t>
      </w:r>
      <w:r w:rsidR="003C6701">
        <w:t>trusem</w:t>
      </w:r>
      <w:r>
        <w:t>.</w:t>
      </w:r>
    </w:p>
    <w:p w:rsidR="00764985" w:rsidRDefault="00764985" w:rsidP="00764985">
      <w:pPr>
        <w:pStyle w:val="Nadpis2"/>
        <w:jc w:val="both"/>
      </w:pPr>
    </w:p>
    <w:p w:rsidR="00B63A76" w:rsidRDefault="00505B8F" w:rsidP="00711D7C">
      <w:pPr>
        <w:pStyle w:val="Nadpis2"/>
        <w:keepNext/>
        <w:widowControl/>
        <w:jc w:val="both"/>
      </w:pPr>
      <w:r>
        <w:t xml:space="preserve">Environmentální vlastnosti </w:t>
      </w:r>
    </w:p>
    <w:p w:rsidR="00B63A76" w:rsidRDefault="00B63A76" w:rsidP="00711D7C">
      <w:pPr>
        <w:pStyle w:val="Zkladntext"/>
        <w:keepNext/>
        <w:widowControl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rPr>
          <w:rStyle w:val="q4iawc"/>
        </w:rPr>
        <w:t xml:space="preserve">Prazikvantel je toxický pro </w:t>
      </w:r>
      <w:r w:rsidR="00711D7C">
        <w:rPr>
          <w:rStyle w:val="q4iawc"/>
        </w:rPr>
        <w:t xml:space="preserve">koprofágní </w:t>
      </w:r>
      <w:r>
        <w:rPr>
          <w:rStyle w:val="q4iawc"/>
        </w:rPr>
        <w:t>organismy</w:t>
      </w:r>
      <w:r>
        <w:rPr>
          <w:spacing w:val="-2"/>
        </w:rPr>
        <w:t>.</w:t>
      </w:r>
    </w:p>
    <w:p w:rsidR="00B63A76" w:rsidRDefault="00B63A76" w:rsidP="00764985">
      <w:pPr>
        <w:pStyle w:val="Zkladntext"/>
      </w:pP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708" w:hanging="567"/>
      </w:pPr>
      <w:bookmarkStart w:id="10" w:name="5.__PHARMACEUTICAL_PARTICULARS__"/>
      <w:bookmarkEnd w:id="10"/>
      <w:r>
        <w:t xml:space="preserve">FARMACEUTICKÉ ÚDAJE 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ind w:left="708" w:hanging="579"/>
      </w:pPr>
      <w:bookmarkStart w:id="11" w:name="5.1_Major_incompatibilities_"/>
      <w:bookmarkEnd w:id="11"/>
      <w:r>
        <w:t xml:space="preserve">Hlavní inkompatibility 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505B8F" w:rsidP="00764985">
      <w:pPr>
        <w:pStyle w:val="Zkladntext"/>
        <w:ind w:left="129"/>
        <w:jc w:val="both"/>
      </w:pPr>
      <w:r>
        <w:t>Nejsou známy</w:t>
      </w:r>
      <w:r>
        <w:rPr>
          <w:spacing w:val="-2"/>
        </w:rPr>
        <w:t>.</w:t>
      </w: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ind w:left="708" w:hanging="579"/>
      </w:pPr>
      <w:r>
        <w:rPr>
          <w:spacing w:val="-4"/>
        </w:rPr>
        <w:t>Doba použitelnosti</w:t>
      </w:r>
      <w:r>
        <w:t xml:space="preserve"> </w:t>
      </w:r>
    </w:p>
    <w:p w:rsidR="001E5792" w:rsidRDefault="00505B8F" w:rsidP="00764985">
      <w:pPr>
        <w:pStyle w:val="Zkladntext"/>
        <w:spacing w:before="253"/>
        <w:ind w:left="129"/>
      </w:pPr>
      <w:r>
        <w:t>Doba použitelnosti veterinárního léčivého přípravku v neporušeném obalu: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 xml:space="preserve">roky. </w:t>
      </w:r>
    </w:p>
    <w:p w:rsidR="00B63A76" w:rsidRDefault="00505B8F" w:rsidP="00577FBB">
      <w:pPr>
        <w:pStyle w:val="Zkladntext"/>
        <w:ind w:left="129"/>
      </w:pPr>
      <w:r>
        <w:t>Doba použitelnosti po prvním otevření vnitřního obalu: 10 týdnů.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spacing w:before="253"/>
        <w:ind w:left="708" w:hanging="579"/>
        <w:rPr>
          <w:bCs w:val="0"/>
        </w:rPr>
      </w:pPr>
      <w:r>
        <w:rPr>
          <w:bCs w:val="0"/>
        </w:rPr>
        <w:t>Zvláštní opatření pro uchovávání</w:t>
      </w:r>
    </w:p>
    <w:p w:rsidR="00B63A76" w:rsidRDefault="00505B8F" w:rsidP="00764985">
      <w:pPr>
        <w:pStyle w:val="Zkladntext"/>
        <w:spacing w:before="253"/>
        <w:ind w:left="137"/>
      </w:pPr>
      <w:r>
        <w:t>Tento veterinární léčivý přípravek nevyžaduje žádné zvláštní podmínky uchovávání</w:t>
      </w:r>
      <w:r>
        <w:rPr>
          <w:spacing w:val="-2"/>
        </w:rPr>
        <w:t>.</w:t>
      </w:r>
    </w:p>
    <w:p w:rsidR="00B63A76" w:rsidRDefault="00505B8F" w:rsidP="00764985">
      <w:pPr>
        <w:pStyle w:val="Nadpis2"/>
        <w:numPr>
          <w:ilvl w:val="1"/>
          <w:numId w:val="1"/>
        </w:numPr>
        <w:tabs>
          <w:tab w:val="left" w:pos="708"/>
        </w:tabs>
        <w:spacing w:before="253"/>
        <w:ind w:left="708" w:hanging="579"/>
      </w:pPr>
      <w:bookmarkStart w:id="12" w:name="5.4__Nature_and_composition_of_immediate"/>
      <w:bookmarkEnd w:id="12"/>
      <w:r>
        <w:t xml:space="preserve">Druh a složení vnitřního obalu </w:t>
      </w:r>
    </w:p>
    <w:p w:rsidR="00B63A76" w:rsidRDefault="00B63A76" w:rsidP="00764985">
      <w:pPr>
        <w:pStyle w:val="Zkladntext"/>
        <w:spacing w:before="26"/>
        <w:rPr>
          <w:b/>
        </w:rPr>
      </w:pPr>
    </w:p>
    <w:p w:rsidR="00B63A76" w:rsidRDefault="00505B8F" w:rsidP="00764985">
      <w:pPr>
        <w:pStyle w:val="Zkladntext"/>
        <w:spacing w:before="1"/>
        <w:ind w:left="141"/>
      </w:pPr>
      <w:r>
        <w:t>950 ml veterinárního léčivého přípravku v</w:t>
      </w:r>
      <w:r w:rsidR="00360A43">
        <w:t xml:space="preserve"> 10</w:t>
      </w:r>
      <w:r w:rsidR="007A0777">
        <w:t>00ml</w:t>
      </w:r>
      <w:r>
        <w:t xml:space="preserve"> plastové l</w:t>
      </w:r>
      <w:r w:rsidR="007A0777">
        <w:t>a</w:t>
      </w:r>
      <w:r>
        <w:t xml:space="preserve">hvi (PET) s redukcí (LDPE) v hrdle a se šroubovacím uzávěrem s </w:t>
      </w:r>
      <w:r w:rsidR="007A0777">
        <w:t xml:space="preserve">pojistkou </w:t>
      </w:r>
      <w:r>
        <w:t>originality (PP a HDPE).</w:t>
      </w:r>
    </w:p>
    <w:p w:rsidR="00B63A76" w:rsidRDefault="00505B8F" w:rsidP="00764985">
      <w:pPr>
        <w:pStyle w:val="Zkladntext"/>
        <w:spacing w:line="360" w:lineRule="auto"/>
        <w:ind w:left="141"/>
      </w:pPr>
      <w:r>
        <w:t>Každá l</w:t>
      </w:r>
      <w:r w:rsidR="007A0777">
        <w:t>a</w:t>
      </w:r>
      <w:r>
        <w:t xml:space="preserve">hev je </w:t>
      </w:r>
      <w:r w:rsidR="006D0413">
        <w:t>opatřena</w:t>
      </w:r>
      <w:r w:rsidR="00B70461">
        <w:t xml:space="preserve"> </w:t>
      </w:r>
      <w:r w:rsidR="00C04CB5">
        <w:t>štítkem s textem příbalové informace.</w:t>
      </w:r>
      <w:r>
        <w:t xml:space="preserve">. </w:t>
      </w:r>
    </w:p>
    <w:p w:rsidR="00B63A76" w:rsidRDefault="00505B8F" w:rsidP="00764985">
      <w:pPr>
        <w:pStyle w:val="Zkladntext"/>
        <w:spacing w:line="360" w:lineRule="auto"/>
        <w:ind w:left="141"/>
      </w:pPr>
      <w:r>
        <w:t>Velikost balení: 1 x 950 ml</w:t>
      </w:r>
    </w:p>
    <w:p w:rsidR="00B63A76" w:rsidRDefault="00505B8F" w:rsidP="00764985">
      <w:pPr>
        <w:pStyle w:val="Nadpis2"/>
        <w:keepNext/>
        <w:widowControl/>
        <w:numPr>
          <w:ilvl w:val="1"/>
          <w:numId w:val="1"/>
        </w:numPr>
        <w:tabs>
          <w:tab w:val="left" w:pos="695"/>
        </w:tabs>
        <w:spacing w:before="126"/>
        <w:ind w:left="695" w:hanging="566"/>
      </w:pPr>
      <w:bookmarkStart w:id="13" w:name="5.5_Special_precautions_for_the_disposal"/>
      <w:bookmarkEnd w:id="13"/>
      <w:r>
        <w:t>Zvláštní opatření pro likvidaci nepoužitých veterinárních léčivých přípravků nebo odpadů, které pochází z těchto přípravků</w:t>
      </w:r>
    </w:p>
    <w:p w:rsidR="00B63A76" w:rsidRDefault="00B63A76" w:rsidP="00764985">
      <w:pPr>
        <w:pStyle w:val="Zkladntext"/>
        <w:keepNext/>
        <w:widowControl/>
        <w:spacing w:before="27"/>
        <w:rPr>
          <w:b/>
        </w:rPr>
      </w:pPr>
    </w:p>
    <w:p w:rsidR="00B63A76" w:rsidRDefault="00505B8F" w:rsidP="00764985">
      <w:pPr>
        <w:pStyle w:val="Zkladntext"/>
        <w:ind w:left="141"/>
        <w:jc w:val="both"/>
      </w:pPr>
      <w:r>
        <w:t>Léčivé přípravky se nesmí likvidovat prostřednictvím odpadní vody či domovního odpadu.</w:t>
      </w:r>
    </w:p>
    <w:p w:rsidR="00B63A76" w:rsidRDefault="00B63A76" w:rsidP="00764985">
      <w:pPr>
        <w:pStyle w:val="Zkladntext"/>
        <w:ind w:left="141"/>
        <w:jc w:val="both"/>
      </w:pPr>
    </w:p>
    <w:p w:rsidR="00B63A76" w:rsidRDefault="00505B8F" w:rsidP="00764985">
      <w:pPr>
        <w:pStyle w:val="Zkladntext"/>
        <w:ind w:left="141"/>
        <w:jc w:val="both"/>
      </w:pPr>
      <w: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:rsidR="00B63A76" w:rsidRDefault="00B63A76" w:rsidP="00764985">
      <w:pPr>
        <w:pStyle w:val="Zkladntext"/>
      </w:pP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708" w:hanging="578"/>
      </w:pPr>
      <w:bookmarkStart w:id="14" w:name="6._NAME_OF_THE_MARKETING_AUTHORISATION_H"/>
      <w:bookmarkEnd w:id="14"/>
      <w:r>
        <w:t>JMÉNO DRŽITELE ROZHODNUTÍ O REGISTRACI</w:t>
      </w:r>
    </w:p>
    <w:p w:rsidR="00B63A76" w:rsidRDefault="00B63A76" w:rsidP="00764985">
      <w:pPr>
        <w:pStyle w:val="Zkladntext"/>
        <w:rPr>
          <w:b/>
        </w:rPr>
      </w:pPr>
    </w:p>
    <w:p w:rsidR="00B63A76" w:rsidRDefault="00505B8F" w:rsidP="00764985">
      <w:pPr>
        <w:pStyle w:val="Zkladntext"/>
        <w:ind w:left="137"/>
      </w:pPr>
      <w:r>
        <w:t xml:space="preserve">Bioveta, </w:t>
      </w:r>
      <w:r>
        <w:rPr>
          <w:spacing w:val="-4"/>
        </w:rPr>
        <w:t>a.s.</w:t>
      </w:r>
    </w:p>
    <w:p w:rsidR="00B63A76" w:rsidRDefault="00B63A76" w:rsidP="00764985">
      <w:pPr>
        <w:pStyle w:val="Zkladntext"/>
      </w:pP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708" w:hanging="578"/>
      </w:pPr>
      <w:r>
        <w:t>REGISTRAČNÍ ČÍSLO(A)</w:t>
      </w:r>
    </w:p>
    <w:p w:rsidR="00B63A76" w:rsidRDefault="00B63A76" w:rsidP="00764985">
      <w:pPr>
        <w:pStyle w:val="Zkladntext"/>
        <w:rPr>
          <w:b/>
        </w:rPr>
      </w:pPr>
    </w:p>
    <w:p w:rsidR="00B63A76" w:rsidRPr="00577FBB" w:rsidRDefault="00577FBB" w:rsidP="00577FBB">
      <w:pPr>
        <w:pStyle w:val="Zkladntext"/>
        <w:ind w:left="130"/>
      </w:pPr>
      <w:r w:rsidRPr="00577FBB">
        <w:t>96/040/25-C</w:t>
      </w:r>
    </w:p>
    <w:p w:rsidR="00577FBB" w:rsidRDefault="00577FBB" w:rsidP="00577FBB">
      <w:pPr>
        <w:pStyle w:val="Zkladntext"/>
        <w:ind w:left="130"/>
        <w:rPr>
          <w:b/>
        </w:rPr>
      </w:pPr>
    </w:p>
    <w:p w:rsidR="004D7494" w:rsidRDefault="004D7494" w:rsidP="00764985">
      <w:pPr>
        <w:pStyle w:val="Zkladntext"/>
        <w:rPr>
          <w:b/>
        </w:rPr>
      </w:pPr>
    </w:p>
    <w:p w:rsidR="00B63A76" w:rsidRDefault="00505B8F" w:rsidP="00764985">
      <w:pPr>
        <w:pStyle w:val="Odstavecseseznamem"/>
        <w:numPr>
          <w:ilvl w:val="0"/>
          <w:numId w:val="1"/>
        </w:numPr>
        <w:tabs>
          <w:tab w:val="left" w:pos="708"/>
        </w:tabs>
        <w:ind w:left="708" w:hanging="578"/>
        <w:rPr>
          <w:b/>
        </w:rPr>
      </w:pPr>
      <w:bookmarkStart w:id="15" w:name="8._DATE_OF_FIRST_AUTHORISATION_"/>
      <w:bookmarkEnd w:id="15"/>
      <w:r>
        <w:rPr>
          <w:b/>
        </w:rPr>
        <w:t>DATUM PRVNÍ REGISTRACE</w:t>
      </w:r>
    </w:p>
    <w:p w:rsidR="00B63A76" w:rsidRDefault="00B63A76" w:rsidP="00764985">
      <w:pPr>
        <w:pStyle w:val="Zkladntext"/>
        <w:spacing w:before="27"/>
        <w:rPr>
          <w:b/>
        </w:rPr>
      </w:pPr>
    </w:p>
    <w:p w:rsidR="00B63A76" w:rsidRDefault="00577FBB" w:rsidP="00764985">
      <w:pPr>
        <w:pStyle w:val="Zkladntext"/>
        <w:ind w:left="141"/>
        <w:rPr>
          <w:spacing w:val="-2"/>
        </w:rPr>
      </w:pPr>
      <w:r>
        <w:t>26. 8. 2025</w:t>
      </w:r>
    </w:p>
    <w:p w:rsidR="00B63A76" w:rsidRDefault="00505B8F" w:rsidP="00D84C57">
      <w:pPr>
        <w:pStyle w:val="Nadpis1"/>
        <w:keepNext/>
        <w:widowControl/>
        <w:numPr>
          <w:ilvl w:val="0"/>
          <w:numId w:val="1"/>
        </w:numPr>
        <w:tabs>
          <w:tab w:val="left" w:pos="708"/>
        </w:tabs>
        <w:spacing w:before="79"/>
        <w:ind w:left="130" w:firstLine="0"/>
      </w:pPr>
      <w:bookmarkStart w:id="16" w:name="9._DATE_OF_THE_LAST_REVISION_OF_THE_SUMM"/>
      <w:bookmarkStart w:id="17" w:name="CHARACTERISTICS_"/>
      <w:bookmarkEnd w:id="16"/>
      <w:bookmarkEnd w:id="17"/>
      <w:r>
        <w:lastRenderedPageBreak/>
        <w:t>DATUM POSLEDNÍ AKTUALIZACE SOUHRNU ÚDAJŮ O PŘÍPRAVKU</w:t>
      </w:r>
    </w:p>
    <w:p w:rsidR="003C6701" w:rsidRDefault="00577FBB" w:rsidP="003C6701">
      <w:pPr>
        <w:pStyle w:val="Zkladntext"/>
        <w:ind w:left="141"/>
      </w:pPr>
      <w:r>
        <w:rPr>
          <w:spacing w:val="-2"/>
        </w:rPr>
        <w:br/>
      </w:r>
      <w:bookmarkStart w:id="18" w:name="_GoBack"/>
      <w:bookmarkEnd w:id="18"/>
      <w:r w:rsidR="003C6701">
        <w:rPr>
          <w:spacing w:val="-2"/>
        </w:rPr>
        <w:t>08/2025</w:t>
      </w:r>
    </w:p>
    <w:p w:rsidR="003C6701" w:rsidRDefault="003C6701" w:rsidP="00764985">
      <w:pPr>
        <w:pStyle w:val="Zkladntext"/>
        <w:ind w:left="141"/>
      </w:pPr>
    </w:p>
    <w:p w:rsidR="00B63A76" w:rsidRDefault="00B63A76" w:rsidP="00577FBB">
      <w:pPr>
        <w:pStyle w:val="Zkladntext"/>
        <w:ind w:left="141"/>
      </w:pPr>
    </w:p>
    <w:p w:rsidR="00B63A76" w:rsidRDefault="00505B8F" w:rsidP="00764985">
      <w:pPr>
        <w:pStyle w:val="Nadpis1"/>
        <w:numPr>
          <w:ilvl w:val="0"/>
          <w:numId w:val="1"/>
        </w:numPr>
        <w:tabs>
          <w:tab w:val="left" w:pos="708"/>
        </w:tabs>
        <w:spacing w:before="1"/>
        <w:ind w:left="708" w:hanging="578"/>
      </w:pPr>
      <w:bookmarkStart w:id="19" w:name="10._CLASSIFICATION_OF_VETERINARY_MEDICIN"/>
      <w:bookmarkEnd w:id="19"/>
      <w:r>
        <w:t>KLASIFIKACE VETERINÁRNÍCH LÉČIVÝCH PŘÍPRAVKŮ</w:t>
      </w:r>
    </w:p>
    <w:p w:rsidR="00B63A76" w:rsidRDefault="00505B8F" w:rsidP="00764985">
      <w:pPr>
        <w:pStyle w:val="Zkladntext"/>
        <w:spacing w:before="253"/>
        <w:ind w:left="141"/>
      </w:pPr>
      <w:r>
        <w:t>Veterinární léčivý přípravek je vydáván pouze na předpis</w:t>
      </w:r>
      <w:r>
        <w:rPr>
          <w:spacing w:val="-2"/>
        </w:rPr>
        <w:t>.</w:t>
      </w:r>
    </w:p>
    <w:p w:rsidR="00B63A76" w:rsidRDefault="00505B8F" w:rsidP="00764985">
      <w:pPr>
        <w:pStyle w:val="Zkladntext"/>
        <w:spacing w:before="253"/>
        <w:ind w:left="141"/>
      </w:pPr>
      <w:r>
        <w:t>Podrobné informace o tomto veterinárním léčivém přípravku jsou k dispozici v databázi přípravků Unie</w:t>
      </w:r>
      <w:r>
        <w:rPr>
          <w:spacing w:val="40"/>
        </w:rPr>
        <w:t xml:space="preserve"> </w:t>
      </w:r>
      <w:r>
        <w:rPr>
          <w:spacing w:val="-2"/>
        </w:rPr>
        <w:t>(</w:t>
      </w:r>
      <w:hyperlink r:id="rId8" w:tooltip="https://medicines.health.europa.eu/veterinary" w:history="1">
        <w:r>
          <w:rPr>
            <w:rStyle w:val="Hypertextovodkaz"/>
            <w:spacing w:val="-2"/>
          </w:rPr>
          <w:t>https://medicines.health.europa.eu/veterinary</w:t>
        </w:r>
      </w:hyperlink>
      <w:r>
        <w:rPr>
          <w:spacing w:val="-2"/>
        </w:rPr>
        <w:t>).</w:t>
      </w:r>
    </w:p>
    <w:p w:rsidR="00B63A76" w:rsidRDefault="00B63A76" w:rsidP="00764985">
      <w:pPr>
        <w:pStyle w:val="Zkladntext"/>
      </w:pPr>
    </w:p>
    <w:p w:rsidR="00B63A76" w:rsidRDefault="00505B8F" w:rsidP="00764985">
      <w:pPr>
        <w:pStyle w:val="Zkladntext"/>
        <w:ind w:left="142"/>
        <w:rPr>
          <w:lang w:val="gsw-FR"/>
        </w:rPr>
      </w:pPr>
      <w:bookmarkStart w:id="20" w:name="_Hlk148432335"/>
      <w:r>
        <w:rPr>
          <w:lang w:val="gsw-FR"/>
        </w:rPr>
        <w:t>Podrobné informace o tomto veterinárním léčivém přípravku naleznete také v národní databázi (</w:t>
      </w:r>
      <w:hyperlink r:id="rId9" w:tooltip="https://www.uskvbl.cz" w:history="1">
        <w:r>
          <w:rPr>
            <w:rStyle w:val="Hypertextovodkaz"/>
            <w:lang w:val="gsw-FR"/>
          </w:rPr>
          <w:t>https://www.uskvbl.cz</w:t>
        </w:r>
      </w:hyperlink>
      <w:r>
        <w:rPr>
          <w:lang w:val="gsw-FR"/>
        </w:rPr>
        <w:t>).</w:t>
      </w:r>
      <w:bookmarkEnd w:id="20"/>
    </w:p>
    <w:sectPr w:rsidR="00B63A76" w:rsidSect="00ED6FB9">
      <w:pgSz w:w="11910" w:h="16840"/>
      <w:pgMar w:top="1417" w:right="1417" w:bottom="1417" w:left="1417" w:header="0" w:footer="8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0ED" w:rsidRDefault="000360ED">
      <w:r>
        <w:separator/>
      </w:r>
    </w:p>
  </w:endnote>
  <w:endnote w:type="continuationSeparator" w:id="0">
    <w:p w:rsidR="000360ED" w:rsidRDefault="0003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0ED" w:rsidRDefault="000360ED">
      <w:r>
        <w:separator/>
      </w:r>
    </w:p>
  </w:footnote>
  <w:footnote w:type="continuationSeparator" w:id="0">
    <w:p w:rsidR="000360ED" w:rsidRDefault="0003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403" w:rsidRDefault="00880403">
    <w:pPr>
      <w:pStyle w:val="Zhlav"/>
    </w:pPr>
  </w:p>
  <w:p w:rsidR="00880403" w:rsidRDefault="00880403">
    <w:pPr>
      <w:pStyle w:val="Zhlav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7D9C"/>
    <w:multiLevelType w:val="multilevel"/>
    <w:tmpl w:val="5ADAE530"/>
    <w:lvl w:ilvl="0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76"/>
    <w:rsid w:val="000360ED"/>
    <w:rsid w:val="000966CE"/>
    <w:rsid w:val="000E1BF9"/>
    <w:rsid w:val="001724B8"/>
    <w:rsid w:val="001E5792"/>
    <w:rsid w:val="00256CBE"/>
    <w:rsid w:val="00317CF8"/>
    <w:rsid w:val="00360A43"/>
    <w:rsid w:val="003C6701"/>
    <w:rsid w:val="003C6EFB"/>
    <w:rsid w:val="0044473C"/>
    <w:rsid w:val="00494F46"/>
    <w:rsid w:val="004D7494"/>
    <w:rsid w:val="00505B8F"/>
    <w:rsid w:val="00530828"/>
    <w:rsid w:val="00577FBB"/>
    <w:rsid w:val="00631980"/>
    <w:rsid w:val="006D0413"/>
    <w:rsid w:val="006D211D"/>
    <w:rsid w:val="00711D7C"/>
    <w:rsid w:val="00764985"/>
    <w:rsid w:val="00795196"/>
    <w:rsid w:val="007A0777"/>
    <w:rsid w:val="00870949"/>
    <w:rsid w:val="00880403"/>
    <w:rsid w:val="008F4132"/>
    <w:rsid w:val="009578DF"/>
    <w:rsid w:val="00991F9F"/>
    <w:rsid w:val="009D051B"/>
    <w:rsid w:val="00A04FF1"/>
    <w:rsid w:val="00A95CFD"/>
    <w:rsid w:val="00AE0E12"/>
    <w:rsid w:val="00B41A07"/>
    <w:rsid w:val="00B440F5"/>
    <w:rsid w:val="00B63A76"/>
    <w:rsid w:val="00B70461"/>
    <w:rsid w:val="00BF1AE7"/>
    <w:rsid w:val="00BF5F3D"/>
    <w:rsid w:val="00C04CB5"/>
    <w:rsid w:val="00D34DF5"/>
    <w:rsid w:val="00D47921"/>
    <w:rsid w:val="00D82AF4"/>
    <w:rsid w:val="00D84C57"/>
    <w:rsid w:val="00D905ED"/>
    <w:rsid w:val="00D93972"/>
    <w:rsid w:val="00DF3EDB"/>
    <w:rsid w:val="00E32BBD"/>
    <w:rsid w:val="00EA23F9"/>
    <w:rsid w:val="00ED6FB9"/>
    <w:rsid w:val="00F22C3A"/>
    <w:rsid w:val="00F74FCD"/>
    <w:rsid w:val="00FC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9765"/>
  <w15:docId w15:val="{203011F4-6825-4C1E-8D85-524A2B3F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o-FR"/>
    </w:rPr>
  </w:style>
  <w:style w:type="paragraph" w:styleId="Nadpis1">
    <w:name w:val="heading 1"/>
    <w:basedOn w:val="Normln"/>
    <w:link w:val="Nadpis1Char"/>
    <w:uiPriority w:val="9"/>
    <w:qFormat/>
    <w:pPr>
      <w:spacing w:before="25"/>
      <w:ind w:left="108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41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8" w:hanging="721"/>
    </w:pPr>
  </w:style>
  <w:style w:type="paragraph" w:customStyle="1" w:styleId="TableParagraph">
    <w:name w:val="Table Paragraph"/>
    <w:basedOn w:val="Normln"/>
    <w:uiPriority w:val="1"/>
    <w:qFormat/>
    <w:pPr>
      <w:spacing w:before="5" w:line="228" w:lineRule="exact"/>
      <w:ind w:left="107"/>
    </w:pPr>
  </w:style>
  <w:style w:type="paragraph" w:styleId="Textkomente">
    <w:name w:val="annotation text"/>
    <w:basedOn w:val="Normln"/>
    <w:link w:val="TextkomenteChar"/>
    <w:pPr>
      <w:widowControl/>
      <w:spacing w:after="120" w:line="280" w:lineRule="atLeast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q4iawc">
    <w:name w:val="q4iawc"/>
    <w:basedOn w:val="Standardnpsmoodstavce"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F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B9"/>
    <w:rPr>
      <w:rFonts w:ascii="Segoe UI" w:eastAsia="Times New Roman" w:hAnsi="Segoe UI" w:cs="Segoe UI"/>
      <w:sz w:val="18"/>
      <w:szCs w:val="18"/>
      <w:lang w:val="co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1152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 Šturala</dc:creator>
  <cp:lastModifiedBy>Neugebauerová Kateřina</cp:lastModifiedBy>
  <cp:revision>49</cp:revision>
  <dcterms:created xsi:type="dcterms:W3CDTF">2025-07-08T10:20:00Z</dcterms:created>
  <dcterms:modified xsi:type="dcterms:W3CDTF">2025-08-26T06:36:00Z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onlyoffice/8.2.1.38</vt:lpwstr>
  </property>
  <property fmtid="{D5CDD505-2E9C-101B-9397-08002B2CF9AE}" pid="4" name="LastSaved">
    <vt:filetime>2025-06-27T00:00:00Z</vt:filetime>
  </property>
  <property fmtid="{D5CDD505-2E9C-101B-9397-08002B2CF9AE}" pid="5" name="Producer">
    <vt:lpwstr>onlyoffice/8.2.1.38</vt:lpwstr>
  </property>
</Properties>
</file>