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D08" w:rsidRPr="00774ED1" w:rsidRDefault="008C0D08">
      <w:pPr>
        <w:rPr>
          <w:b/>
        </w:rPr>
      </w:pPr>
      <w:r w:rsidRPr="00774ED1">
        <w:rPr>
          <w:b/>
        </w:rPr>
        <w:t>IDEXX</w:t>
      </w:r>
      <w:r w:rsidRPr="00774ED1">
        <w:t xml:space="preserve"> </w:t>
      </w:r>
      <w:r w:rsidRPr="00774ED1">
        <w:rPr>
          <w:b/>
        </w:rPr>
        <w:t>CAV</w:t>
      </w:r>
    </w:p>
    <w:p w:rsidR="00AC388F" w:rsidRPr="00774ED1" w:rsidRDefault="0057089A" w:rsidP="00485FA9">
      <w:pPr>
        <w:ind w:right="110"/>
        <w:rPr>
          <w:b/>
        </w:rPr>
      </w:pPr>
      <w:r w:rsidRPr="00774ED1">
        <w:rPr>
          <w:b/>
        </w:rPr>
        <w:t>Testovací sada na průkaz protilátek proti viru infekční anémie kuřat</w:t>
      </w:r>
    </w:p>
    <w:p w:rsidR="0057089A" w:rsidRPr="00774ED1" w:rsidRDefault="0057089A" w:rsidP="00485FA9">
      <w:pPr>
        <w:rPr>
          <w:b/>
        </w:rPr>
      </w:pPr>
      <w:r w:rsidRPr="00774ED1">
        <w:rPr>
          <w:b/>
        </w:rPr>
        <w:t>Pouze k veterinárnímu užití.</w:t>
      </w:r>
    </w:p>
    <w:p w:rsidR="0057089A" w:rsidRPr="00774ED1" w:rsidRDefault="0057089A">
      <w:pPr>
        <w:rPr>
          <w:b/>
        </w:rPr>
      </w:pPr>
      <w:r w:rsidRPr="00774ED1">
        <w:rPr>
          <w:b/>
        </w:rPr>
        <w:t xml:space="preserve">Název a </w:t>
      </w:r>
      <w:r w:rsidR="00485FA9" w:rsidRPr="00774ED1">
        <w:rPr>
          <w:b/>
        </w:rPr>
        <w:t>způsob</w:t>
      </w:r>
      <w:r w:rsidRPr="00774ED1">
        <w:rPr>
          <w:b/>
        </w:rPr>
        <w:t xml:space="preserve"> </w:t>
      </w:r>
      <w:r w:rsidR="00485FA9" w:rsidRPr="00774ED1">
        <w:rPr>
          <w:b/>
        </w:rPr>
        <w:t>po</w:t>
      </w:r>
      <w:r w:rsidRPr="00774ED1">
        <w:rPr>
          <w:b/>
        </w:rPr>
        <w:t>užití</w:t>
      </w:r>
    </w:p>
    <w:p w:rsidR="0057089A" w:rsidRPr="00774ED1" w:rsidRDefault="0057089A">
      <w:r w:rsidRPr="00774ED1">
        <w:t>IDEXX CAV je enzymatický imunologický test firmy IDEXX určený k detekci protilátek proti viru infekční anémie kuřat (CAV) v séru kura domácího.</w:t>
      </w:r>
    </w:p>
    <w:p w:rsidR="0057089A" w:rsidRPr="00774ED1" w:rsidRDefault="0057089A">
      <w:pPr>
        <w:rPr>
          <w:b/>
        </w:rPr>
      </w:pPr>
      <w:r w:rsidRPr="00774ED1">
        <w:rPr>
          <w:b/>
        </w:rPr>
        <w:t>Obecné informace</w:t>
      </w:r>
    </w:p>
    <w:p w:rsidR="0057089A" w:rsidRPr="00774ED1" w:rsidRDefault="0057089A">
      <w:r w:rsidRPr="00774ED1">
        <w:t xml:space="preserve">Virus infekční anémie kuřat (CAV) je významným patogenem drůbeže, který byl zachycen u brojlerů, </w:t>
      </w:r>
      <w:r w:rsidR="00641325" w:rsidRPr="00774ED1">
        <w:t>chovných kusů i v SPF hejnech. Izolace viru je obtížná a časově náročná. Screening na přítomnost protilátek indikuje expozici virem. K detekci protilátek proti CAV se využívá enzymová imunosor</w:t>
      </w:r>
      <w:r w:rsidR="008C0D08" w:rsidRPr="00774ED1">
        <w:t>b</w:t>
      </w:r>
      <w:r w:rsidR="00641325" w:rsidRPr="00774ED1">
        <w:t xml:space="preserve">ční analýza (ELISA). Tato metoda je velmi přínosná při masovém testování hejn na expozici CAV. Test IDEXX CAV lze použít jako screeningový test na přítomnost viru infekční anémie kuřat nebo k posouzení reakce na vakcinaci. </w:t>
      </w:r>
    </w:p>
    <w:p w:rsidR="00641325" w:rsidRPr="00774ED1" w:rsidRDefault="00641325">
      <w:pPr>
        <w:rPr>
          <w:b/>
        </w:rPr>
      </w:pPr>
      <w:r w:rsidRPr="00774ED1">
        <w:rPr>
          <w:b/>
        </w:rPr>
        <w:t>Popis a principy</w:t>
      </w:r>
    </w:p>
    <w:p w:rsidR="00641325" w:rsidRPr="00774ED1" w:rsidRDefault="00641325">
      <w:r w:rsidRPr="00774ED1">
        <w:t xml:space="preserve">Test IDEXX CAV se provádí v jamce mikrotitrační destičky potažené antigenem viru infekční anémie kuřat. Během první inkubace reagují protilátky proti CAV přítomné ve vzorku s imobilizovanými antigeny. Po vymývacím kroku se </w:t>
      </w:r>
      <w:r w:rsidR="00D0397D" w:rsidRPr="00774ED1">
        <w:t xml:space="preserve">do jamky </w:t>
      </w:r>
      <w:r w:rsidRPr="00774ED1">
        <w:t xml:space="preserve">přidá </w:t>
      </w:r>
      <w:r w:rsidR="008C0D08" w:rsidRPr="00774ED1">
        <w:t xml:space="preserve">enzymatický </w:t>
      </w:r>
      <w:r w:rsidRPr="00774ED1">
        <w:t>konjugát</w:t>
      </w:r>
      <w:r w:rsidR="008C0D08" w:rsidRPr="00774ED1">
        <w:t xml:space="preserve"> s</w:t>
      </w:r>
      <w:r w:rsidRPr="00774ED1">
        <w:t xml:space="preserve"> </w:t>
      </w:r>
      <w:r w:rsidR="00D0397D" w:rsidRPr="00774ED1">
        <w:t>anti-CAV monoklonální</w:t>
      </w:r>
      <w:r w:rsidR="008C0D08" w:rsidRPr="00774ED1">
        <w:t>mi</w:t>
      </w:r>
      <w:r w:rsidR="00D0397D" w:rsidRPr="00774ED1">
        <w:t xml:space="preserve"> protilátk</w:t>
      </w:r>
      <w:r w:rsidR="008C0D08" w:rsidRPr="00774ED1">
        <w:t>ami</w:t>
      </w:r>
      <w:r w:rsidR="00D0397D" w:rsidRPr="00774ED1">
        <w:t xml:space="preserve">. Nejsou-li v testovaném vzorku přítomny žádné protilátky proti CAV, anti-CAV konjugát může volně reagovat s CAV antigenem. Naopak jsou-li ve vzorku přítomny anti-CAV protilátky, </w:t>
      </w:r>
      <w:r w:rsidR="008C0D08" w:rsidRPr="00774ED1">
        <w:t>enzymatický konjugát s monoklonálními protilátkami</w:t>
      </w:r>
      <w:r w:rsidR="00D0397D" w:rsidRPr="00774ED1">
        <w:t xml:space="preserve"> j</w:t>
      </w:r>
      <w:r w:rsidR="009B3694" w:rsidRPr="00774ED1">
        <w:t>e</w:t>
      </w:r>
      <w:r w:rsidR="00D0397D" w:rsidRPr="00774ED1">
        <w:t xml:space="preserve"> pro reakci s antigenem blokován. Po tomto inkubačním kroku se nezreagovaný konjugát odstraní vymytím a přidá se roztok</w:t>
      </w:r>
      <w:r w:rsidR="009B3694" w:rsidRPr="00774ED1">
        <w:t xml:space="preserve"> s</w:t>
      </w:r>
      <w:r w:rsidR="00D0397D" w:rsidRPr="00774ED1">
        <w:t>ubstrátu/chromogenu. V přítomnosti enzymu je substrát konvertován na produkt, který reaguje s chromoforem za vzniku modrého zbarvení. Absorbance při 650 nm, A(650) se měří pomocí spektrofotometru. Výsledky se vypočítají vydělením A(650) vzorku průměrem A(650) negativní kontroly – výsledkem je hodnota S/N. Množství protilátek proti CAV je nepřímo úměrné A(650) a tím i</w:t>
      </w:r>
      <w:r w:rsidR="00776DAC" w:rsidRPr="00774ED1">
        <w:t> </w:t>
      </w:r>
      <w:r w:rsidR="00D0397D" w:rsidRPr="00774ED1">
        <w:t xml:space="preserve">hodnotě S/N. Přítomnost protilátek proti CAV indikuje dřívější expozici virem infekční anémie kuřat. </w:t>
      </w:r>
    </w:p>
    <w:p w:rsidR="00D0397D" w:rsidRPr="00774ED1" w:rsidRDefault="009B3694" w:rsidP="00D0397D">
      <w:pPr>
        <w:tabs>
          <w:tab w:val="left" w:pos="7515"/>
        </w:tabs>
      </w:pPr>
      <w:r w:rsidRPr="00774ED1">
        <w:t xml:space="preserve">Činidla                           </w:t>
      </w:r>
      <w:r w:rsidR="00D0397D" w:rsidRPr="00774ED1">
        <w:t xml:space="preserve">                                                                                             Objem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5"/>
        <w:gridCol w:w="6071"/>
        <w:gridCol w:w="1276"/>
      </w:tblGrid>
      <w:tr w:rsidR="00D0397D" w:rsidRPr="00774ED1" w:rsidTr="00C12E1E">
        <w:tc>
          <w:tcPr>
            <w:tcW w:w="445" w:type="dxa"/>
          </w:tcPr>
          <w:p w:rsidR="00D0397D" w:rsidRPr="00774ED1" w:rsidRDefault="00D0397D" w:rsidP="00574144">
            <w:r w:rsidRPr="00774ED1">
              <w:t>1</w:t>
            </w:r>
          </w:p>
        </w:tc>
        <w:tc>
          <w:tcPr>
            <w:tcW w:w="6071" w:type="dxa"/>
          </w:tcPr>
          <w:p w:rsidR="00D0397D" w:rsidRPr="00774ED1" w:rsidRDefault="00D0397D" w:rsidP="00574144">
            <w:r w:rsidRPr="00774ED1">
              <w:t>Destičky potažené antigenem CAV</w:t>
            </w:r>
          </w:p>
        </w:tc>
        <w:tc>
          <w:tcPr>
            <w:tcW w:w="1276" w:type="dxa"/>
          </w:tcPr>
          <w:p w:rsidR="00D0397D" w:rsidRPr="00774ED1" w:rsidRDefault="00D0397D" w:rsidP="00574144">
            <w:r w:rsidRPr="00774ED1">
              <w:t>5</w:t>
            </w:r>
          </w:p>
        </w:tc>
      </w:tr>
      <w:tr w:rsidR="00D0397D" w:rsidRPr="00774ED1" w:rsidTr="00C12E1E">
        <w:tc>
          <w:tcPr>
            <w:tcW w:w="445" w:type="dxa"/>
          </w:tcPr>
          <w:p w:rsidR="00D0397D" w:rsidRPr="00774ED1" w:rsidRDefault="00D0397D" w:rsidP="00574144">
            <w:r w:rsidRPr="00774ED1">
              <w:t>2</w:t>
            </w:r>
          </w:p>
        </w:tc>
        <w:tc>
          <w:tcPr>
            <w:tcW w:w="6071" w:type="dxa"/>
          </w:tcPr>
          <w:p w:rsidR="00D0397D" w:rsidRPr="00774ED1" w:rsidRDefault="00D0397D" w:rsidP="00574144">
            <w:r w:rsidRPr="00774ED1">
              <w:t xml:space="preserve">Pozitivní kontrola – zředěné slepičí anti-CAV sérum, konzervováno </w:t>
            </w:r>
            <w:r w:rsidR="009B3694" w:rsidRPr="00774ED1">
              <w:t>Proclinem™150</w:t>
            </w:r>
          </w:p>
        </w:tc>
        <w:tc>
          <w:tcPr>
            <w:tcW w:w="1276" w:type="dxa"/>
          </w:tcPr>
          <w:p w:rsidR="00D0397D" w:rsidRPr="00774ED1" w:rsidRDefault="00D0397D" w:rsidP="00574144">
            <w:r w:rsidRPr="00774ED1">
              <w:t>1 x 2,0 ml</w:t>
            </w:r>
          </w:p>
        </w:tc>
      </w:tr>
      <w:tr w:rsidR="00D0397D" w:rsidRPr="00774ED1" w:rsidTr="00C12E1E">
        <w:tc>
          <w:tcPr>
            <w:tcW w:w="445" w:type="dxa"/>
          </w:tcPr>
          <w:p w:rsidR="00D0397D" w:rsidRPr="00774ED1" w:rsidRDefault="00D0397D" w:rsidP="00574144">
            <w:r w:rsidRPr="00774ED1">
              <w:t>3</w:t>
            </w:r>
          </w:p>
        </w:tc>
        <w:tc>
          <w:tcPr>
            <w:tcW w:w="6071" w:type="dxa"/>
          </w:tcPr>
          <w:p w:rsidR="00D0397D" w:rsidRPr="00774ED1" w:rsidRDefault="00D0397D" w:rsidP="00574144">
            <w:r w:rsidRPr="00774ED1">
              <w:t xml:space="preserve">Negativní kontrola – zředěné slepičí sérum nereagující na CAV, konzervováno </w:t>
            </w:r>
            <w:r w:rsidR="009B3694" w:rsidRPr="00774ED1">
              <w:t>Proclinem™150</w:t>
            </w:r>
          </w:p>
        </w:tc>
        <w:tc>
          <w:tcPr>
            <w:tcW w:w="1276" w:type="dxa"/>
          </w:tcPr>
          <w:p w:rsidR="00D0397D" w:rsidRPr="00774ED1" w:rsidRDefault="00D0397D" w:rsidP="00574144">
            <w:r w:rsidRPr="00774ED1">
              <w:t>1 x 2,0 ml</w:t>
            </w:r>
          </w:p>
        </w:tc>
      </w:tr>
      <w:tr w:rsidR="00D0397D" w:rsidRPr="00774ED1" w:rsidTr="00C12E1E">
        <w:tc>
          <w:tcPr>
            <w:tcW w:w="445" w:type="dxa"/>
          </w:tcPr>
          <w:p w:rsidR="00D0397D" w:rsidRPr="00774ED1" w:rsidRDefault="00D0397D" w:rsidP="00574144">
            <w:r w:rsidRPr="00774ED1">
              <w:t>4</w:t>
            </w:r>
          </w:p>
        </w:tc>
        <w:tc>
          <w:tcPr>
            <w:tcW w:w="6071" w:type="dxa"/>
          </w:tcPr>
          <w:p w:rsidR="00D0397D" w:rsidRPr="00774ED1" w:rsidRDefault="00D0397D" w:rsidP="00574144">
            <w:r w:rsidRPr="00774ED1">
              <w:t xml:space="preserve">Konjugát – anti-CAV: HRPO konjugát, konzervováno </w:t>
            </w:r>
            <w:r w:rsidR="009B3694" w:rsidRPr="00774ED1">
              <w:t>Proclinem™150</w:t>
            </w:r>
          </w:p>
        </w:tc>
        <w:tc>
          <w:tcPr>
            <w:tcW w:w="1276" w:type="dxa"/>
          </w:tcPr>
          <w:p w:rsidR="00D0397D" w:rsidRPr="00774ED1" w:rsidRDefault="00D0397D" w:rsidP="00574144">
            <w:r w:rsidRPr="00774ED1">
              <w:t>1 x 50 ml</w:t>
            </w:r>
          </w:p>
        </w:tc>
      </w:tr>
      <w:tr w:rsidR="00D0397D" w:rsidRPr="00774ED1" w:rsidTr="00C12E1E">
        <w:tc>
          <w:tcPr>
            <w:tcW w:w="445" w:type="dxa"/>
          </w:tcPr>
          <w:p w:rsidR="00D0397D" w:rsidRPr="00774ED1" w:rsidRDefault="00D0397D" w:rsidP="00574144">
            <w:r w:rsidRPr="00774ED1">
              <w:t>5</w:t>
            </w:r>
          </w:p>
        </w:tc>
        <w:tc>
          <w:tcPr>
            <w:tcW w:w="6071" w:type="dxa"/>
          </w:tcPr>
          <w:p w:rsidR="00D0397D" w:rsidRPr="00774ED1" w:rsidRDefault="00D0397D" w:rsidP="00574144">
            <w:r w:rsidRPr="00774ED1">
              <w:t xml:space="preserve">Ředicí roztok – konzervováno </w:t>
            </w:r>
            <w:r w:rsidR="009B3694" w:rsidRPr="00774ED1">
              <w:t>Proclinem™150</w:t>
            </w:r>
          </w:p>
        </w:tc>
        <w:tc>
          <w:tcPr>
            <w:tcW w:w="1276" w:type="dxa"/>
          </w:tcPr>
          <w:p w:rsidR="00D0397D" w:rsidRPr="00774ED1" w:rsidRDefault="00D0397D" w:rsidP="00574144">
            <w:r w:rsidRPr="00774ED1">
              <w:t>1 x 235 ml</w:t>
            </w:r>
          </w:p>
        </w:tc>
      </w:tr>
      <w:tr w:rsidR="00D0397D" w:rsidRPr="00774ED1" w:rsidTr="00C12E1E">
        <w:tc>
          <w:tcPr>
            <w:tcW w:w="445" w:type="dxa"/>
          </w:tcPr>
          <w:p w:rsidR="00D0397D" w:rsidRPr="00774ED1" w:rsidRDefault="00D0397D" w:rsidP="00574144">
            <w:r w:rsidRPr="00774ED1">
              <w:t>A</w:t>
            </w:r>
          </w:p>
        </w:tc>
        <w:tc>
          <w:tcPr>
            <w:tcW w:w="6071" w:type="dxa"/>
          </w:tcPr>
          <w:p w:rsidR="00D0397D" w:rsidRPr="00774ED1" w:rsidRDefault="00D0397D" w:rsidP="00574144">
            <w:r w:rsidRPr="00774ED1">
              <w:t xml:space="preserve">TMB substrát </w:t>
            </w:r>
          </w:p>
        </w:tc>
        <w:tc>
          <w:tcPr>
            <w:tcW w:w="1276" w:type="dxa"/>
          </w:tcPr>
          <w:p w:rsidR="00D0397D" w:rsidRPr="00774ED1" w:rsidRDefault="00D0397D" w:rsidP="00574144">
            <w:r w:rsidRPr="00774ED1">
              <w:t>1 x 60 ml</w:t>
            </w:r>
          </w:p>
        </w:tc>
      </w:tr>
      <w:tr w:rsidR="00C12E1E" w:rsidRPr="00774ED1" w:rsidTr="00C12E1E">
        <w:tc>
          <w:tcPr>
            <w:tcW w:w="445" w:type="dxa"/>
          </w:tcPr>
          <w:p w:rsidR="00C12E1E" w:rsidRPr="00774ED1" w:rsidRDefault="00C12E1E" w:rsidP="00574144">
            <w:r w:rsidRPr="00774ED1">
              <w:t>B</w:t>
            </w:r>
          </w:p>
        </w:tc>
        <w:tc>
          <w:tcPr>
            <w:tcW w:w="6071" w:type="dxa"/>
          </w:tcPr>
          <w:p w:rsidR="00C12E1E" w:rsidRPr="00774ED1" w:rsidRDefault="00C12E1E" w:rsidP="00574144">
            <w:r w:rsidRPr="00774ED1">
              <w:t>Zastavovací roztok</w:t>
            </w:r>
          </w:p>
        </w:tc>
        <w:tc>
          <w:tcPr>
            <w:tcW w:w="1276" w:type="dxa"/>
          </w:tcPr>
          <w:p w:rsidR="00C12E1E" w:rsidRPr="00774ED1" w:rsidRDefault="00C12E1E" w:rsidP="00574144">
            <w:r w:rsidRPr="00774ED1">
              <w:t>1 x 60 ml</w:t>
            </w:r>
          </w:p>
        </w:tc>
      </w:tr>
      <w:tr w:rsidR="00C12E1E" w:rsidRPr="00774ED1" w:rsidTr="00C12E1E">
        <w:tc>
          <w:tcPr>
            <w:tcW w:w="445" w:type="dxa"/>
          </w:tcPr>
          <w:p w:rsidR="00C12E1E" w:rsidRPr="00774ED1" w:rsidRDefault="00C12E1E" w:rsidP="00574144">
            <w:r w:rsidRPr="00774ED1">
              <w:t>C</w:t>
            </w:r>
          </w:p>
        </w:tc>
        <w:tc>
          <w:tcPr>
            <w:tcW w:w="6071" w:type="dxa"/>
          </w:tcPr>
          <w:p w:rsidR="00C12E1E" w:rsidRPr="00774ED1" w:rsidRDefault="00C12E1E" w:rsidP="00574144">
            <w:r w:rsidRPr="00774ED1">
              <w:t>Koncentrát mycího roztoku (10X)</w:t>
            </w:r>
          </w:p>
        </w:tc>
        <w:tc>
          <w:tcPr>
            <w:tcW w:w="1276" w:type="dxa"/>
          </w:tcPr>
          <w:p w:rsidR="00C12E1E" w:rsidRPr="00774ED1" w:rsidRDefault="00C12E1E" w:rsidP="00574144">
            <w:r w:rsidRPr="00774ED1">
              <w:t>1 x 235 ml</w:t>
            </w:r>
          </w:p>
        </w:tc>
      </w:tr>
      <w:tr w:rsidR="00C12E1E" w:rsidRPr="00774ED1" w:rsidTr="00820441">
        <w:tc>
          <w:tcPr>
            <w:tcW w:w="6516" w:type="dxa"/>
            <w:gridSpan w:val="2"/>
          </w:tcPr>
          <w:p w:rsidR="00C12E1E" w:rsidRPr="00774ED1" w:rsidRDefault="00C12E1E" w:rsidP="00574144">
            <w:r w:rsidRPr="00774ED1">
              <w:t>Další součásti: Sáček se zipovým uzávěrem.</w:t>
            </w:r>
          </w:p>
        </w:tc>
        <w:tc>
          <w:tcPr>
            <w:tcW w:w="1276" w:type="dxa"/>
          </w:tcPr>
          <w:p w:rsidR="00C12E1E" w:rsidRPr="00774ED1" w:rsidRDefault="00C12E1E" w:rsidP="00574144">
            <w:r w:rsidRPr="00774ED1">
              <w:t>1</w:t>
            </w:r>
          </w:p>
        </w:tc>
      </w:tr>
    </w:tbl>
    <w:p w:rsidR="00C12E1E" w:rsidRPr="00774ED1" w:rsidRDefault="009B3694" w:rsidP="00D0397D">
      <w:pPr>
        <w:spacing w:after="0"/>
      </w:pPr>
      <w:r w:rsidRPr="00774ED1">
        <w:t>Poznámka: Popis symbolů použitých v této příbalové informaci a popisků této testovací sady najdete v tabulce na konci informace.</w:t>
      </w:r>
    </w:p>
    <w:p w:rsidR="00D0397D" w:rsidRPr="00774ED1" w:rsidRDefault="00D0397D" w:rsidP="00D0397D">
      <w:pPr>
        <w:spacing w:after="0"/>
        <w:rPr>
          <w:b/>
        </w:rPr>
      </w:pPr>
      <w:r w:rsidRPr="00774ED1">
        <w:rPr>
          <w:b/>
        </w:rPr>
        <w:lastRenderedPageBreak/>
        <w:t>Uchovávání</w:t>
      </w:r>
    </w:p>
    <w:p w:rsidR="00D0397D" w:rsidRPr="00774ED1" w:rsidRDefault="00D0397D" w:rsidP="00D0397D">
      <w:pPr>
        <w:spacing w:after="0"/>
      </w:pPr>
    </w:p>
    <w:p w:rsidR="009B3694" w:rsidRPr="00774ED1" w:rsidRDefault="009B3694" w:rsidP="009B3694">
      <w:pPr>
        <w:spacing w:after="0"/>
      </w:pPr>
      <w:r w:rsidRPr="00774ED1">
        <w:t>Činidla uchovávejte při teplotě 2–8 °C. Činidla jsou za předpokladu řádného skladování stabilní do</w:t>
      </w:r>
      <w:r w:rsidR="00776DAC" w:rsidRPr="00774ED1">
        <w:t> </w:t>
      </w:r>
      <w:r w:rsidRPr="00774ED1">
        <w:t>data exspirace.</w:t>
      </w:r>
    </w:p>
    <w:p w:rsidR="00D0397D" w:rsidRPr="00774ED1" w:rsidRDefault="00D0397D" w:rsidP="00D0397D">
      <w:pPr>
        <w:spacing w:after="0"/>
      </w:pPr>
    </w:p>
    <w:p w:rsidR="00D0397D" w:rsidRPr="00774ED1" w:rsidRDefault="00D0397D" w:rsidP="00D0397D">
      <w:pPr>
        <w:spacing w:after="0"/>
        <w:rPr>
          <w:b/>
        </w:rPr>
      </w:pPr>
    </w:p>
    <w:p w:rsidR="00D0397D" w:rsidRPr="00774ED1" w:rsidRDefault="00D0397D" w:rsidP="00D0397D">
      <w:pPr>
        <w:spacing w:after="0"/>
        <w:rPr>
          <w:b/>
        </w:rPr>
      </w:pPr>
      <w:r w:rsidRPr="00774ED1">
        <w:rPr>
          <w:b/>
        </w:rPr>
        <w:t>Potřebné materiály, které nejsou součástí soupravy</w:t>
      </w:r>
    </w:p>
    <w:p w:rsidR="00D0397D" w:rsidRPr="00774ED1" w:rsidRDefault="00D0397D" w:rsidP="00D0397D">
      <w:pPr>
        <w:spacing w:after="0"/>
      </w:pPr>
    </w:p>
    <w:p w:rsidR="00D0397D" w:rsidRPr="00774ED1" w:rsidRDefault="00D0397D" w:rsidP="00D0397D">
      <w:pPr>
        <w:pStyle w:val="Odstavecseseznamem"/>
        <w:numPr>
          <w:ilvl w:val="0"/>
          <w:numId w:val="1"/>
        </w:numPr>
        <w:spacing w:after="0"/>
      </w:pPr>
      <w:r w:rsidRPr="00774ED1">
        <w:t>Přesné pipety nebo multikanálové pipety</w:t>
      </w:r>
    </w:p>
    <w:p w:rsidR="00D0397D" w:rsidRPr="00774ED1" w:rsidRDefault="00D0397D" w:rsidP="00D0397D">
      <w:pPr>
        <w:pStyle w:val="Odstavecseseznamem"/>
        <w:numPr>
          <w:ilvl w:val="0"/>
          <w:numId w:val="1"/>
        </w:numPr>
        <w:spacing w:after="0"/>
      </w:pPr>
      <w:r w:rsidRPr="00774ED1">
        <w:t>Jednorázové pipetovací špičky</w:t>
      </w:r>
    </w:p>
    <w:p w:rsidR="00D0397D" w:rsidRPr="00774ED1" w:rsidRDefault="00D0397D" w:rsidP="00D0397D">
      <w:pPr>
        <w:pStyle w:val="Odstavecseseznamem"/>
        <w:numPr>
          <w:ilvl w:val="0"/>
          <w:numId w:val="1"/>
        </w:numPr>
        <w:spacing w:after="0"/>
      </w:pPr>
      <w:r w:rsidRPr="00774ED1">
        <w:t>Odměrný válec na mycí roztok</w:t>
      </w:r>
    </w:p>
    <w:p w:rsidR="00D0397D" w:rsidRPr="00774ED1" w:rsidRDefault="00D0397D" w:rsidP="00D0397D">
      <w:pPr>
        <w:pStyle w:val="Odstavecseseznamem"/>
        <w:numPr>
          <w:ilvl w:val="0"/>
          <w:numId w:val="1"/>
        </w:numPr>
        <w:spacing w:after="0"/>
      </w:pPr>
      <w:r w:rsidRPr="00774ED1">
        <w:t>Čtečka mikrodestiček s 96 jamkami (vybavená filtrem s vlnovou délkou 650 nm)</w:t>
      </w:r>
    </w:p>
    <w:p w:rsidR="00D0397D" w:rsidRPr="00774ED1" w:rsidRDefault="00D0397D" w:rsidP="00D0397D">
      <w:pPr>
        <w:pStyle w:val="Odstavecseseznamem"/>
        <w:numPr>
          <w:ilvl w:val="0"/>
          <w:numId w:val="1"/>
        </w:numPr>
        <w:spacing w:after="0"/>
      </w:pPr>
      <w:r w:rsidRPr="00774ED1">
        <w:t>Mycí zařízení na mikrodestičky (manuální, poloautomatický nebo automatický systém)</w:t>
      </w:r>
    </w:p>
    <w:p w:rsidR="00D0397D" w:rsidRPr="00774ED1" w:rsidRDefault="00D0397D" w:rsidP="00D0397D">
      <w:pPr>
        <w:pStyle w:val="Odstavecseseznamem"/>
        <w:numPr>
          <w:ilvl w:val="0"/>
          <w:numId w:val="1"/>
        </w:numPr>
        <w:spacing w:after="0"/>
      </w:pPr>
      <w:r w:rsidRPr="00774ED1">
        <w:t xml:space="preserve">Pro přípravu </w:t>
      </w:r>
      <w:r w:rsidR="009B3694" w:rsidRPr="00774ED1">
        <w:t>činidel</w:t>
      </w:r>
      <w:r w:rsidRPr="00774ED1">
        <w:t xml:space="preserve"> používaných při testu používejte pouze destilovanou nebo deionizovanou vodu</w:t>
      </w:r>
    </w:p>
    <w:p w:rsidR="00D0397D" w:rsidRPr="00774ED1" w:rsidRDefault="00D0397D" w:rsidP="00D0397D">
      <w:pPr>
        <w:pStyle w:val="Odstavecseseznamem"/>
        <w:numPr>
          <w:ilvl w:val="0"/>
          <w:numId w:val="1"/>
        </w:numPr>
        <w:spacing w:after="0"/>
      </w:pPr>
      <w:r w:rsidRPr="00774ED1">
        <w:t>Vortex nebo ekvivalentní zařízení</w:t>
      </w:r>
    </w:p>
    <w:p w:rsidR="00D0397D" w:rsidRPr="00774ED1" w:rsidRDefault="00D0397D" w:rsidP="00D0397D">
      <w:pPr>
        <w:spacing w:after="0"/>
      </w:pPr>
    </w:p>
    <w:p w:rsidR="00D0397D" w:rsidRPr="00774ED1" w:rsidRDefault="00D0397D" w:rsidP="00D0397D">
      <w:pPr>
        <w:spacing w:after="0"/>
        <w:rPr>
          <w:b/>
        </w:rPr>
      </w:pPr>
      <w:r w:rsidRPr="00774ED1">
        <w:rPr>
          <w:b/>
        </w:rPr>
        <w:t>Bezpečnostní opatření a upozornění pro uživatele</w:t>
      </w:r>
    </w:p>
    <w:p w:rsidR="00D0397D" w:rsidRPr="00774ED1" w:rsidRDefault="00D0397D" w:rsidP="00D0397D">
      <w:pPr>
        <w:spacing w:after="0"/>
      </w:pPr>
    </w:p>
    <w:p w:rsidR="00D0397D" w:rsidRPr="00774ED1" w:rsidRDefault="00D0397D" w:rsidP="00D0397D">
      <w:pPr>
        <w:pStyle w:val="Odstavecseseznamem"/>
        <w:numPr>
          <w:ilvl w:val="0"/>
          <w:numId w:val="2"/>
        </w:numPr>
        <w:spacing w:after="0"/>
      </w:pPr>
      <w:r w:rsidRPr="00774ED1">
        <w:t>Se všemi biologickými materiály zacházejte jako s potenciálně infekčními.</w:t>
      </w:r>
    </w:p>
    <w:p w:rsidR="00D0397D" w:rsidRPr="00774ED1" w:rsidRDefault="00D0397D" w:rsidP="00D0397D">
      <w:pPr>
        <w:pStyle w:val="Odstavecseseznamem"/>
        <w:numPr>
          <w:ilvl w:val="0"/>
          <w:numId w:val="2"/>
        </w:numPr>
        <w:spacing w:after="0"/>
      </w:pPr>
      <w:r w:rsidRPr="00774ED1">
        <w:t>Při manipulaci se vzorky a reagencii používejte ochranné rukavice / ochranný oděv / ochranu očí nebo obličeje.</w:t>
      </w:r>
    </w:p>
    <w:p w:rsidR="00D0397D" w:rsidRPr="00774ED1" w:rsidRDefault="00D0397D" w:rsidP="00D0397D">
      <w:pPr>
        <w:pStyle w:val="Odstavecseseznamem"/>
        <w:numPr>
          <w:ilvl w:val="0"/>
          <w:numId w:val="2"/>
        </w:numPr>
        <w:spacing w:after="0"/>
      </w:pPr>
      <w:r w:rsidRPr="00774ED1">
        <w:t>Další informace najdete v materiálových bezpečnostních listech.</w:t>
      </w:r>
    </w:p>
    <w:p w:rsidR="00756186" w:rsidRPr="00774ED1" w:rsidRDefault="00756186" w:rsidP="00756186">
      <w:pPr>
        <w:pStyle w:val="Odstavecseseznamem"/>
        <w:numPr>
          <w:ilvl w:val="0"/>
          <w:numId w:val="2"/>
        </w:numPr>
        <w:spacing w:after="0"/>
      </w:pPr>
      <w:r w:rsidRPr="00774ED1">
        <w:t>Upozornění a bezpečnostní opatření pro použití činidel naleznete na konci této příbalové informace.</w:t>
      </w:r>
    </w:p>
    <w:p w:rsidR="00D0397D" w:rsidRPr="00774ED1" w:rsidRDefault="00D0397D" w:rsidP="00D0397D">
      <w:pPr>
        <w:spacing w:after="0"/>
        <w:rPr>
          <w:b/>
        </w:rPr>
      </w:pPr>
    </w:p>
    <w:p w:rsidR="00D0397D" w:rsidRPr="00774ED1" w:rsidRDefault="00D0397D" w:rsidP="00D0397D">
      <w:pPr>
        <w:spacing w:after="0"/>
        <w:rPr>
          <w:b/>
        </w:rPr>
      </w:pPr>
      <w:r w:rsidRPr="00774ED1">
        <w:rPr>
          <w:b/>
        </w:rPr>
        <w:t>Laboratorní praxe</w:t>
      </w:r>
    </w:p>
    <w:p w:rsidR="00D0397D" w:rsidRPr="00774ED1" w:rsidRDefault="00D0397D" w:rsidP="00D0397D">
      <w:pPr>
        <w:spacing w:after="0"/>
      </w:pPr>
    </w:p>
    <w:p w:rsidR="00D0397D" w:rsidRPr="00774ED1" w:rsidRDefault="00D0397D" w:rsidP="00D0397D">
      <w:pPr>
        <w:pStyle w:val="Odstavecseseznamem"/>
        <w:numPr>
          <w:ilvl w:val="0"/>
          <w:numId w:val="3"/>
        </w:numPr>
        <w:spacing w:after="0"/>
      </w:pPr>
      <w:r w:rsidRPr="00774ED1">
        <w:t>Pro dosažení optimálních výsledků přesně dodržujte tento protokol. K zachování přesnosti a</w:t>
      </w:r>
      <w:r w:rsidR="00776DAC" w:rsidRPr="00774ED1">
        <w:t> </w:t>
      </w:r>
      <w:r w:rsidRPr="00774ED1">
        <w:t>správnosti je nezbytné pečlivé pipetování, měření času a promývání během postupu. Pro</w:t>
      </w:r>
      <w:r w:rsidR="00776DAC" w:rsidRPr="00774ED1">
        <w:t> </w:t>
      </w:r>
      <w:r w:rsidRPr="00774ED1">
        <w:t>každý vzorek a kontrolu použijte vždy novou pipetovací špičku.</w:t>
      </w:r>
    </w:p>
    <w:p w:rsidR="00D0397D" w:rsidRPr="00774ED1" w:rsidRDefault="00D0397D" w:rsidP="00D0397D">
      <w:pPr>
        <w:pStyle w:val="Odstavecseseznamem"/>
        <w:numPr>
          <w:ilvl w:val="0"/>
          <w:numId w:val="3"/>
        </w:numPr>
        <w:spacing w:after="0"/>
      </w:pPr>
      <w:r w:rsidRPr="00774ED1">
        <w:t xml:space="preserve">Roztok TMB nevystavujte silnému světlu nebo jakýmkoli oxidačním činidlům. Pro manipulaci s roztokem TMB používejte čisté skleněné nebo plastové nádoby. </w:t>
      </w:r>
    </w:p>
    <w:p w:rsidR="00D0397D" w:rsidRPr="00774ED1" w:rsidRDefault="00D0397D" w:rsidP="00D0397D">
      <w:pPr>
        <w:pStyle w:val="Odstavecseseznamem"/>
        <w:numPr>
          <w:ilvl w:val="0"/>
          <w:numId w:val="3"/>
        </w:numPr>
        <w:spacing w:after="0"/>
      </w:pPr>
      <w:r w:rsidRPr="00774ED1">
        <w:t>Všechny odpady je třeba před likvidací řádně dekontaminovat. Obsah likvidujte v souladu s</w:t>
      </w:r>
      <w:r w:rsidR="00776DAC" w:rsidRPr="00774ED1">
        <w:t> </w:t>
      </w:r>
      <w:r w:rsidRPr="00774ED1">
        <w:t>místními, regionálními a státními předpisy.</w:t>
      </w:r>
    </w:p>
    <w:p w:rsidR="00D0397D" w:rsidRPr="00774ED1" w:rsidRDefault="00D0397D" w:rsidP="00D0397D">
      <w:pPr>
        <w:pStyle w:val="Odstavecseseznamem"/>
        <w:numPr>
          <w:ilvl w:val="0"/>
          <w:numId w:val="3"/>
        </w:numPr>
        <w:spacing w:after="0"/>
      </w:pPr>
      <w:r w:rsidRPr="00774ED1">
        <w:t>Snažte se zabránit kontaminaci složek soupravy. Nenalévejte nepoužit</w:t>
      </w:r>
      <w:r w:rsidR="00291786" w:rsidRPr="00774ED1">
        <w:t>á činidla</w:t>
      </w:r>
      <w:r w:rsidRPr="00774ED1">
        <w:t xml:space="preserve"> zpět do</w:t>
      </w:r>
      <w:r w:rsidR="00776DAC" w:rsidRPr="00774ED1">
        <w:t> </w:t>
      </w:r>
      <w:r w:rsidRPr="00774ED1">
        <w:t>nádob.</w:t>
      </w:r>
    </w:p>
    <w:p w:rsidR="00D0397D" w:rsidRPr="00774ED1" w:rsidRDefault="00D0397D" w:rsidP="00D0397D">
      <w:pPr>
        <w:pStyle w:val="Odstavecseseznamem"/>
        <w:numPr>
          <w:ilvl w:val="0"/>
          <w:numId w:val="3"/>
        </w:numPr>
        <w:spacing w:after="0"/>
      </w:pPr>
      <w:r w:rsidRPr="00774ED1">
        <w:t>Nepoužívejte soupravu po datu exspirace.</w:t>
      </w:r>
    </w:p>
    <w:p w:rsidR="00C12E1E" w:rsidRPr="00774ED1" w:rsidRDefault="00C12E1E" w:rsidP="00C12E1E">
      <w:pPr>
        <w:spacing w:after="0"/>
      </w:pPr>
    </w:p>
    <w:p w:rsidR="00C12E1E" w:rsidRPr="00774ED1" w:rsidRDefault="00C12E1E" w:rsidP="00C12E1E">
      <w:pPr>
        <w:spacing w:after="0"/>
        <w:rPr>
          <w:b/>
        </w:rPr>
      </w:pPr>
      <w:r w:rsidRPr="00774ED1">
        <w:rPr>
          <w:b/>
        </w:rPr>
        <w:t>Příprava mycího roztoku</w:t>
      </w:r>
    </w:p>
    <w:p w:rsidR="00C12E1E" w:rsidRPr="00774ED1" w:rsidRDefault="00C12E1E" w:rsidP="00C12E1E">
      <w:pPr>
        <w:spacing w:after="0"/>
      </w:pPr>
      <w:r w:rsidRPr="00774ED1">
        <w:t xml:space="preserve">Koncentrát mycího roztoku (10x) je nutno zahřát na teplotu 18–26°C a dobře promíchat, aby se rozpustily veškeré sražené soli. Koncentrát mycího roztoku musí být před užitím zředěn destilovanou/deionizovanou v poměru 1:10 (např. 30 ml koncentrátu na 270 ml vody pro každou testovanou destičku). </w:t>
      </w:r>
    </w:p>
    <w:p w:rsidR="00D0397D" w:rsidRPr="00774ED1" w:rsidRDefault="00D0397D" w:rsidP="00D0397D">
      <w:pPr>
        <w:spacing w:after="0"/>
        <w:rPr>
          <w:b/>
        </w:rPr>
      </w:pPr>
      <w:r w:rsidRPr="00774ED1">
        <w:rPr>
          <w:b/>
        </w:rPr>
        <w:lastRenderedPageBreak/>
        <w:t>Příprava vzorků</w:t>
      </w:r>
    </w:p>
    <w:p w:rsidR="00C51B6A" w:rsidRPr="00774ED1" w:rsidRDefault="00C51B6A" w:rsidP="00D0397D">
      <w:pPr>
        <w:spacing w:after="0"/>
        <w:rPr>
          <w:b/>
        </w:rPr>
      </w:pPr>
    </w:p>
    <w:p w:rsidR="00D0397D" w:rsidRPr="00774ED1" w:rsidRDefault="00765108">
      <w:r w:rsidRPr="00774ED1">
        <w:rPr>
          <w:b/>
        </w:rPr>
        <w:t xml:space="preserve">Poznámka: </w:t>
      </w:r>
      <w:r w:rsidR="00C12E1E" w:rsidRPr="00774ED1">
        <w:t xml:space="preserve">Ředění vzorků séra se provádí v mikrozkumavkách nebo přímo na mikrotitrační destičce přidáním odpovídajícího množství séra k dříve pipetovanému ředicímu roztoku. Pro každý vzorek použijte novou pipetovací špičku. Před umístěním na potaženou destičku musí být vzorky důkladně promíseny. </w:t>
      </w:r>
      <w:r w:rsidR="00C12E1E" w:rsidRPr="00774ED1">
        <w:rPr>
          <w:b/>
        </w:rPr>
        <w:t xml:space="preserve">KONTROLNÍ VZORKY NEŘEĎTE. </w:t>
      </w:r>
    </w:p>
    <w:p w:rsidR="00C12E1E" w:rsidRPr="00774ED1" w:rsidRDefault="00C12E1E" w:rsidP="006F668B">
      <w:pPr>
        <w:pStyle w:val="Odstavecseseznamem"/>
        <w:numPr>
          <w:ilvl w:val="0"/>
          <w:numId w:val="4"/>
        </w:numPr>
        <w:rPr>
          <w:b/>
        </w:rPr>
      </w:pPr>
      <w:r w:rsidRPr="00774ED1">
        <w:rPr>
          <w:b/>
        </w:rPr>
        <w:t xml:space="preserve">Přirozená expozice – </w:t>
      </w:r>
      <w:r w:rsidRPr="00774ED1">
        <w:t>Pro detekci protilátek vzniklých</w:t>
      </w:r>
      <w:r w:rsidR="006F668B" w:rsidRPr="00774ED1">
        <w:t xml:space="preserve"> v důsledku přirozené mikrobiální expozice virem infekční anémie kuřat. Vzorky séra před testováním desetkrát (1/10) zřeďte přiloženým ředicím roztokem (např. 10 μ</w:t>
      </w:r>
      <w:r w:rsidR="00774ED1">
        <w:t>l</w:t>
      </w:r>
      <w:r w:rsidR="006F668B" w:rsidRPr="00774ED1">
        <w:t xml:space="preserve"> vzorku na 90 μ</w:t>
      </w:r>
      <w:r w:rsidR="00774ED1">
        <w:t>l</w:t>
      </w:r>
      <w:r w:rsidR="006F668B" w:rsidRPr="00774ED1">
        <w:t xml:space="preserve"> ředicího roztoku). </w:t>
      </w:r>
    </w:p>
    <w:p w:rsidR="006F668B" w:rsidRPr="00774ED1" w:rsidRDefault="006F668B" w:rsidP="006F668B">
      <w:pPr>
        <w:pStyle w:val="Odstavecseseznamem"/>
        <w:numPr>
          <w:ilvl w:val="0"/>
          <w:numId w:val="4"/>
        </w:numPr>
        <w:rPr>
          <w:b/>
        </w:rPr>
      </w:pPr>
      <w:r w:rsidRPr="00774ED1">
        <w:rPr>
          <w:b/>
        </w:rPr>
        <w:t xml:space="preserve">Vakcinace </w:t>
      </w:r>
      <w:r w:rsidRPr="00774ED1">
        <w:t>– Pro detekci zvýšené hladiny protilátek (např. po vakcinaci CAV) zřeďte vzorky séra přiloženým ředicím roztokem 1/100 (např. 10 μ</w:t>
      </w:r>
      <w:r w:rsidR="00774ED1">
        <w:t>l</w:t>
      </w:r>
      <w:r w:rsidRPr="00774ED1">
        <w:t xml:space="preserve"> vzorku na 990 μ</w:t>
      </w:r>
      <w:r w:rsidR="00774ED1">
        <w:t>l</w:t>
      </w:r>
      <w:bookmarkStart w:id="0" w:name="_GoBack"/>
      <w:bookmarkEnd w:id="0"/>
      <w:r w:rsidRPr="00774ED1">
        <w:t xml:space="preserve"> ředicího roztoku). Toto ředění umožní adekvátní rozlišení odpovědí u vzorků z vakcinovaného hejna. Odpověď na očkování závisí na dávce, způsobu podání, věku hejna atd.</w:t>
      </w:r>
    </w:p>
    <w:p w:rsidR="006F668B" w:rsidRPr="00774ED1" w:rsidRDefault="006F668B" w:rsidP="006F668B">
      <w:pPr>
        <w:rPr>
          <w:b/>
        </w:rPr>
      </w:pPr>
      <w:r w:rsidRPr="00774ED1">
        <w:rPr>
          <w:b/>
        </w:rPr>
        <w:t>Postup testu</w:t>
      </w:r>
    </w:p>
    <w:p w:rsidR="006F668B" w:rsidRPr="00774ED1" w:rsidRDefault="006F668B" w:rsidP="006F668B">
      <w:pPr>
        <w:spacing w:after="0"/>
      </w:pPr>
      <w:r w:rsidRPr="00774ED1">
        <w:t>Všechn</w:t>
      </w:r>
      <w:r w:rsidR="00291786" w:rsidRPr="00774ED1">
        <w:t>a činidla</w:t>
      </w:r>
      <w:r w:rsidRPr="00774ED1">
        <w:t xml:space="preserve"> použité v testu musí mít teplotu 18–26°C. </w:t>
      </w:r>
      <w:r w:rsidR="00291786" w:rsidRPr="00774ED1">
        <w:t>Činidla</w:t>
      </w:r>
      <w:r w:rsidRPr="00774ED1">
        <w:t xml:space="preserve"> se míchají jemným obracením nebo</w:t>
      </w:r>
      <w:r w:rsidR="00776DAC" w:rsidRPr="00774ED1">
        <w:t> </w:t>
      </w:r>
      <w:r w:rsidRPr="00774ED1">
        <w:t>kroužením.</w:t>
      </w:r>
    </w:p>
    <w:p w:rsidR="006F668B" w:rsidRPr="00774ED1" w:rsidRDefault="006F668B" w:rsidP="006F668B">
      <w:pPr>
        <w:spacing w:after="0"/>
      </w:pPr>
    </w:p>
    <w:p w:rsidR="006F668B" w:rsidRPr="00774ED1" w:rsidRDefault="006F668B" w:rsidP="006F668B">
      <w:pPr>
        <w:spacing w:after="0"/>
      </w:pPr>
      <w:r w:rsidRPr="00774ED1">
        <w:t>1. Připravte si potažené mikrodestičky a zaznamenejte umístění vzorků. Pokud používáte pouze část destičky, oddělte jen takový počet jamek, který odpovídá počtu testovaných vzorků. Zbývající jamky umístěte spolu s desikantem do přiloženého sáčku se zipovým uzávěrem a uložte zpět do teploty</w:t>
      </w:r>
      <w:r w:rsidR="00776DAC" w:rsidRPr="00774ED1">
        <w:br/>
      </w:r>
      <w:r w:rsidRPr="00774ED1">
        <w:t>2-8°C.</w:t>
      </w:r>
    </w:p>
    <w:p w:rsidR="006F668B" w:rsidRPr="00774ED1" w:rsidRDefault="006F668B" w:rsidP="006F668B">
      <w:pPr>
        <w:spacing w:after="0"/>
      </w:pPr>
      <w:r w:rsidRPr="00774ED1">
        <w:t>2. Dejte 100 μl NEŘEDĚNÉHO negativního kontrolního vzorku (NK) do duplicitních jamek.</w:t>
      </w:r>
    </w:p>
    <w:p w:rsidR="006F668B" w:rsidRPr="00774ED1" w:rsidRDefault="006F668B" w:rsidP="006F668B">
      <w:pPr>
        <w:spacing w:after="0"/>
      </w:pPr>
      <w:r w:rsidRPr="00774ED1">
        <w:t xml:space="preserve">3. Dejte 100 μl NEŘEDĚNÉHO pozitivního kontrolního vzorku (PK) do duplicitních jamek. </w:t>
      </w:r>
    </w:p>
    <w:p w:rsidR="006F668B" w:rsidRPr="00774ED1" w:rsidRDefault="006F668B" w:rsidP="006F668B">
      <w:pPr>
        <w:spacing w:after="0"/>
      </w:pPr>
      <w:r w:rsidRPr="00774ED1">
        <w:t xml:space="preserve">4. Dejte 100 μl ZŘEDĚNÉHO vzorku do určených jamek.  Vzorky se doporučuje testovat v duplikátech, lze však testovat i v jedné jamce. </w:t>
      </w:r>
    </w:p>
    <w:p w:rsidR="006F668B" w:rsidRPr="00774ED1" w:rsidRDefault="006F668B" w:rsidP="006F668B">
      <w:pPr>
        <w:spacing w:after="0"/>
      </w:pPr>
      <w:r w:rsidRPr="00774ED1">
        <w:t xml:space="preserve">5. Inkubujte po dobu </w:t>
      </w:r>
      <w:r w:rsidR="00775816" w:rsidRPr="00774ED1">
        <w:t>6</w:t>
      </w:r>
      <w:r w:rsidRPr="00774ED1">
        <w:t>0 minut (±</w:t>
      </w:r>
      <w:r w:rsidR="009A1E5F" w:rsidRPr="00774ED1">
        <w:t xml:space="preserve"> </w:t>
      </w:r>
      <w:r w:rsidR="00775816" w:rsidRPr="00774ED1">
        <w:t>5</w:t>
      </w:r>
      <w:r w:rsidRPr="00774ED1">
        <w:t xml:space="preserve"> min.) při teplotě 18-26°C.</w:t>
      </w:r>
    </w:p>
    <w:p w:rsidR="006F668B" w:rsidRPr="00774ED1" w:rsidRDefault="006F668B" w:rsidP="006F668B">
      <w:pPr>
        <w:spacing w:after="0"/>
      </w:pPr>
      <w:r w:rsidRPr="00774ED1">
        <w:t xml:space="preserve">6. Odstraňte roztok a každou jamku 3-5x promyjte přibližně 350 µl mycího roztoku.  Destička nesmí mezi umýváním a před přidáním </w:t>
      </w:r>
      <w:r w:rsidR="00291786" w:rsidRPr="00774ED1">
        <w:t>dalšího činidla</w:t>
      </w:r>
      <w:r w:rsidRPr="00774ED1">
        <w:t xml:space="preserve"> vyschnout. Po posledním promytí odstraňte zbývající mycí tekutinu z každé destičky poklepáním na savý materiál.</w:t>
      </w:r>
    </w:p>
    <w:p w:rsidR="006F668B" w:rsidRPr="00774ED1" w:rsidRDefault="006F668B" w:rsidP="006F668B">
      <w:pPr>
        <w:spacing w:after="0"/>
      </w:pPr>
      <w:r w:rsidRPr="00774ED1">
        <w:t>7. Přidejte do každé jamky 100 μl konjugátu.</w:t>
      </w:r>
    </w:p>
    <w:p w:rsidR="006F668B" w:rsidRPr="00774ED1" w:rsidRDefault="006F668B" w:rsidP="006F668B">
      <w:pPr>
        <w:spacing w:after="0"/>
      </w:pPr>
      <w:r w:rsidRPr="00774ED1">
        <w:t xml:space="preserve">8. Inkubujte 30 minut (±2 min.) při teplotě 18–26°C. </w:t>
      </w:r>
    </w:p>
    <w:p w:rsidR="006F668B" w:rsidRPr="00774ED1" w:rsidRDefault="006F668B" w:rsidP="006F668B">
      <w:pPr>
        <w:spacing w:after="0"/>
      </w:pPr>
      <w:r w:rsidRPr="00774ED1">
        <w:t>9. Opakujte krok č. 6.</w:t>
      </w:r>
    </w:p>
    <w:p w:rsidR="006F668B" w:rsidRPr="00774ED1" w:rsidRDefault="006F668B" w:rsidP="006F668B">
      <w:pPr>
        <w:spacing w:after="0"/>
      </w:pPr>
      <w:r w:rsidRPr="00774ED1">
        <w:t>10. Přidejte do každé jamky 100 μl TMB substrátu.</w:t>
      </w:r>
    </w:p>
    <w:p w:rsidR="006F668B" w:rsidRPr="00774ED1" w:rsidRDefault="006F668B" w:rsidP="006F668B">
      <w:pPr>
        <w:spacing w:after="0"/>
      </w:pPr>
      <w:r w:rsidRPr="00774ED1">
        <w:t>11. Inkubujte 15 minut (±1 min.) při teplotě 18–26°C.</w:t>
      </w:r>
    </w:p>
    <w:p w:rsidR="006F668B" w:rsidRPr="00774ED1" w:rsidRDefault="006F668B" w:rsidP="006F668B">
      <w:pPr>
        <w:spacing w:after="0"/>
      </w:pPr>
      <w:r w:rsidRPr="00774ED1">
        <w:t>12. Přidejte do každé jamky 100 μl zastavovacího roztoku.</w:t>
      </w:r>
    </w:p>
    <w:p w:rsidR="006F668B" w:rsidRPr="00774ED1" w:rsidRDefault="006F668B" w:rsidP="006F668B">
      <w:pPr>
        <w:spacing w:after="0"/>
      </w:pPr>
      <w:r w:rsidRPr="00774ED1">
        <w:t>13. Změřte a zaznamenejte hodnoty absorbance při 650 nm, A (650).</w:t>
      </w:r>
    </w:p>
    <w:p w:rsidR="00775816" w:rsidRPr="00774ED1" w:rsidRDefault="00775816" w:rsidP="006F668B">
      <w:pPr>
        <w:spacing w:after="0"/>
      </w:pPr>
    </w:p>
    <w:p w:rsidR="00775816" w:rsidRPr="00774ED1" w:rsidRDefault="00775816" w:rsidP="006F668B">
      <w:pPr>
        <w:spacing w:after="0"/>
      </w:pPr>
      <w:r w:rsidRPr="00774ED1">
        <w:t>14. Výpočty:</w:t>
      </w:r>
    </w:p>
    <w:p w:rsidR="00775816" w:rsidRPr="00774ED1" w:rsidRDefault="00775816" w:rsidP="006F668B">
      <w:pPr>
        <w:spacing w:after="0"/>
        <w:rPr>
          <w:b/>
        </w:rPr>
      </w:pPr>
      <w:r w:rsidRPr="00774ED1">
        <w:rPr>
          <w:b/>
        </w:rPr>
        <w:t>Kontroly</w:t>
      </w:r>
    </w:p>
    <w:p w:rsidR="00775816" w:rsidRPr="00774ED1" w:rsidRDefault="00775816" w:rsidP="00775816">
      <w:pPr>
        <w:spacing w:after="0"/>
      </w:pPr>
      <w:r w:rsidRPr="00774ED1">
        <w:t xml:space="preserve">NKx = </w:t>
      </w:r>
      <w:r w:rsidRPr="00774ED1">
        <w:rPr>
          <w:u w:val="single"/>
        </w:rPr>
        <w:t>NK1 A(650) + NK2 A(650)</w:t>
      </w:r>
      <w:r w:rsidRPr="00774ED1">
        <w:t xml:space="preserve">                                       PKx = </w:t>
      </w:r>
      <w:r w:rsidRPr="00774ED1">
        <w:rPr>
          <w:u w:val="single"/>
        </w:rPr>
        <w:t>PK1 A(650) + PK2 A(650)</w:t>
      </w:r>
    </w:p>
    <w:p w:rsidR="00775816" w:rsidRPr="00774ED1" w:rsidRDefault="00775816" w:rsidP="00775816">
      <w:pPr>
        <w:tabs>
          <w:tab w:val="left" w:pos="6300"/>
        </w:tabs>
        <w:spacing w:after="0"/>
      </w:pPr>
      <w:r w:rsidRPr="00774ED1">
        <w:t xml:space="preserve">                                2</w:t>
      </w:r>
      <w:r w:rsidRPr="00774ED1">
        <w:tab/>
        <w:t>2</w:t>
      </w:r>
    </w:p>
    <w:p w:rsidR="00775816" w:rsidRPr="00774ED1" w:rsidRDefault="00775816" w:rsidP="00775816">
      <w:pPr>
        <w:tabs>
          <w:tab w:val="left" w:pos="6300"/>
        </w:tabs>
        <w:spacing w:after="0"/>
        <w:rPr>
          <w:b/>
        </w:rPr>
      </w:pPr>
      <w:r w:rsidRPr="00774ED1">
        <w:br/>
      </w:r>
      <w:r w:rsidRPr="00774ED1">
        <w:rPr>
          <w:b/>
        </w:rPr>
        <w:t>Kritéria validity:</w:t>
      </w:r>
    </w:p>
    <w:p w:rsidR="00775816" w:rsidRPr="00774ED1" w:rsidRDefault="00775816" w:rsidP="00775816">
      <w:pPr>
        <w:tabs>
          <w:tab w:val="left" w:pos="6300"/>
        </w:tabs>
        <w:spacing w:after="0"/>
      </w:pPr>
      <w:r w:rsidRPr="00774ED1">
        <w:t xml:space="preserve">NKx </w:t>
      </w:r>
      <w:r w:rsidRPr="00774ED1">
        <w:rPr>
          <w:u w:val="single"/>
        </w:rPr>
        <w:t>&gt;</w:t>
      </w:r>
      <w:r w:rsidRPr="00774ED1">
        <w:t xml:space="preserve"> 0,600                                                                     PKx/ NKx ≤ 0,50</w:t>
      </w:r>
    </w:p>
    <w:p w:rsidR="00775816" w:rsidRPr="00774ED1" w:rsidRDefault="00775816" w:rsidP="00775816">
      <w:pPr>
        <w:tabs>
          <w:tab w:val="left" w:pos="6300"/>
        </w:tabs>
        <w:spacing w:after="0"/>
      </w:pPr>
      <w:r w:rsidRPr="00774ED1">
        <w:lastRenderedPageBreak/>
        <w:t>Při neplatnosti výsledků je třeba předpokládat chybu v technice provedení. Doporučuje se důkladně znovu prostudovat př</w:t>
      </w:r>
      <w:r w:rsidR="00291786" w:rsidRPr="00774ED1">
        <w:t>íbalovou informaci</w:t>
      </w:r>
      <w:r w:rsidRPr="00774ED1">
        <w:t xml:space="preserve"> a test provést znovu.</w:t>
      </w:r>
    </w:p>
    <w:p w:rsidR="00775816" w:rsidRPr="00774ED1" w:rsidRDefault="00775816" w:rsidP="00775816">
      <w:pPr>
        <w:tabs>
          <w:tab w:val="left" w:pos="6300"/>
        </w:tabs>
        <w:spacing w:after="0"/>
      </w:pPr>
      <w:r w:rsidRPr="00774ED1">
        <w:rPr>
          <w:b/>
        </w:rPr>
        <w:t>Vzorky</w:t>
      </w:r>
    </w:p>
    <w:p w:rsidR="00775816" w:rsidRPr="00774ED1" w:rsidRDefault="00775816" w:rsidP="00775816">
      <w:pPr>
        <w:tabs>
          <w:tab w:val="left" w:pos="6300"/>
        </w:tabs>
        <w:spacing w:after="0"/>
        <w:rPr>
          <w:u w:val="single"/>
        </w:rPr>
      </w:pPr>
      <w:r w:rsidRPr="00774ED1">
        <w:t xml:space="preserve">S/N = </w:t>
      </w:r>
      <w:r w:rsidRPr="00774ED1">
        <w:rPr>
          <w:u w:val="single"/>
        </w:rPr>
        <w:t>A(650) vzorku</w:t>
      </w:r>
    </w:p>
    <w:p w:rsidR="00775816" w:rsidRPr="00774ED1" w:rsidRDefault="00775816" w:rsidP="00775816">
      <w:pPr>
        <w:tabs>
          <w:tab w:val="left" w:pos="6300"/>
        </w:tabs>
        <w:spacing w:after="0"/>
      </w:pPr>
      <w:r w:rsidRPr="00774ED1">
        <w:t xml:space="preserve">                  NKx</w:t>
      </w:r>
    </w:p>
    <w:p w:rsidR="00775816" w:rsidRPr="00774ED1" w:rsidRDefault="00775816" w:rsidP="00775816">
      <w:pPr>
        <w:tabs>
          <w:tab w:val="left" w:pos="6300"/>
        </w:tabs>
        <w:spacing w:after="0"/>
      </w:pPr>
      <w:r w:rsidRPr="00774ED1">
        <w:t>Přítomnost nebo nepřítomnost protilátek proti CAV je u jednotlivých vzorků určena poměrem vzorku k negativní kontrole (S/N).</w:t>
      </w:r>
    </w:p>
    <w:p w:rsidR="00775816" w:rsidRPr="00774ED1" w:rsidRDefault="00775816" w:rsidP="00775816">
      <w:pPr>
        <w:tabs>
          <w:tab w:val="left" w:pos="6300"/>
        </w:tabs>
        <w:spacing w:after="0"/>
      </w:pPr>
    </w:p>
    <w:p w:rsidR="00775816" w:rsidRPr="00774ED1" w:rsidRDefault="00775816" w:rsidP="00775816">
      <w:pPr>
        <w:tabs>
          <w:tab w:val="left" w:pos="6300"/>
        </w:tabs>
        <w:spacing w:after="0"/>
      </w:pPr>
      <w:r w:rsidRPr="00774ED1">
        <w:t>15. Interpretace</w:t>
      </w:r>
    </w:p>
    <w:p w:rsidR="00775816" w:rsidRPr="00774ED1" w:rsidRDefault="00775816" w:rsidP="00775816">
      <w:pPr>
        <w:tabs>
          <w:tab w:val="left" w:pos="6300"/>
        </w:tabs>
        <w:spacing w:after="0"/>
        <w:rPr>
          <w:b/>
        </w:rPr>
      </w:pPr>
      <w:r w:rsidRPr="00774ED1">
        <w:rPr>
          <w:b/>
        </w:rPr>
        <w:t>Ředění 1/10</w:t>
      </w:r>
    </w:p>
    <w:p w:rsidR="00775816" w:rsidRPr="00774ED1" w:rsidRDefault="00775816" w:rsidP="006F668B">
      <w:r w:rsidRPr="00774ED1">
        <w:t>Negativní: S/N &gt; 0,60</w:t>
      </w:r>
    </w:p>
    <w:p w:rsidR="00775816" w:rsidRPr="00774ED1" w:rsidRDefault="00775816" w:rsidP="006F668B">
      <w:r w:rsidRPr="00774ED1">
        <w:t>Pozitivní: S/N ≤ 0,60</w:t>
      </w:r>
    </w:p>
    <w:p w:rsidR="00775816" w:rsidRPr="00774ED1" w:rsidRDefault="00775816" w:rsidP="006F668B">
      <w:pPr>
        <w:rPr>
          <w:b/>
        </w:rPr>
      </w:pPr>
      <w:r w:rsidRPr="00774ED1">
        <w:rPr>
          <w:b/>
        </w:rPr>
        <w:t>Ředění 1/100</w:t>
      </w:r>
    </w:p>
    <w:p w:rsidR="00775816" w:rsidRPr="00774ED1" w:rsidRDefault="00775816" w:rsidP="00775816">
      <w:pPr>
        <w:tabs>
          <w:tab w:val="left" w:pos="6300"/>
        </w:tabs>
        <w:spacing w:after="0"/>
      </w:pPr>
      <w:r w:rsidRPr="00774ED1">
        <w:t xml:space="preserve">Imunologický status vakcinovaného hejna se nejlépe určuje pomocí monitoringu a zaznamenávání titrů protilátek v reprezentativních vzorcích jako funkce času. Výsledné profily hejn umožňují stanovení distribuce titrů protilátek a analýzu změn v průběhu času. </w:t>
      </w:r>
    </w:p>
    <w:p w:rsidR="00775816" w:rsidRPr="00774ED1" w:rsidRDefault="00775816" w:rsidP="00775816">
      <w:pPr>
        <w:tabs>
          <w:tab w:val="left" w:pos="6300"/>
        </w:tabs>
        <w:spacing w:after="0"/>
      </w:pPr>
    </w:p>
    <w:p w:rsidR="00775816" w:rsidRPr="00774ED1" w:rsidRDefault="00775816" w:rsidP="00775816">
      <w:r w:rsidRPr="00774ED1">
        <w:t>Poznámka: Společnost IDEXX má k dispozici přístrojové a softwarové systémy pro výpočet výsledků a</w:t>
      </w:r>
      <w:r w:rsidR="00776DAC" w:rsidRPr="00774ED1">
        <w:t> </w:t>
      </w:r>
      <w:r w:rsidRPr="00774ED1">
        <w:t>poskytování souhrnů dat.</w:t>
      </w:r>
    </w:p>
    <w:p w:rsidR="00775816" w:rsidRPr="00774ED1" w:rsidRDefault="00775816" w:rsidP="00775816">
      <w:pPr>
        <w:spacing w:after="0"/>
        <w:rPr>
          <w:b/>
        </w:rPr>
      </w:pPr>
      <w:bookmarkStart w:id="1" w:name="_Hlk496880051"/>
      <w:r w:rsidRPr="00774ED1">
        <w:rPr>
          <w:b/>
        </w:rPr>
        <w:t>Technická podpora:</w:t>
      </w:r>
    </w:p>
    <w:p w:rsidR="00775816" w:rsidRPr="00774ED1" w:rsidRDefault="00775816" w:rsidP="00775816">
      <w:pPr>
        <w:spacing w:after="0"/>
      </w:pPr>
    </w:p>
    <w:p w:rsidR="00775816" w:rsidRPr="00774ED1" w:rsidRDefault="00775816" w:rsidP="00775816">
      <w:pPr>
        <w:spacing w:after="0"/>
      </w:pPr>
      <w:r w:rsidRPr="00774ED1">
        <w:t>IDEXX USA Tel: +1 800 548 9997 nebo +1 207 556 4895</w:t>
      </w:r>
    </w:p>
    <w:p w:rsidR="00775816" w:rsidRPr="00774ED1" w:rsidRDefault="00775816" w:rsidP="00775816">
      <w:pPr>
        <w:spacing w:after="0"/>
      </w:pPr>
      <w:r w:rsidRPr="00774ED1">
        <w:t>IDEXX Evropa Tel: +800 727 43399</w:t>
      </w:r>
    </w:p>
    <w:p w:rsidR="00775816" w:rsidRPr="00774ED1" w:rsidRDefault="00775816" w:rsidP="00775816">
      <w:pPr>
        <w:spacing w:after="0"/>
      </w:pPr>
      <w:r w:rsidRPr="00774ED1">
        <w:t xml:space="preserve">Obraťte se na manažera nebo distributora společnosti IDEXX pro Vaši oblast nebo navštivte naši webovou stránku: </w:t>
      </w:r>
      <w:hyperlink r:id="rId7" w:history="1">
        <w:r w:rsidRPr="00774ED1">
          <w:rPr>
            <w:rStyle w:val="Hypertextovodkaz"/>
          </w:rPr>
          <w:t>www.idexx.com/production/contactlpd</w:t>
        </w:r>
      </w:hyperlink>
    </w:p>
    <w:p w:rsidR="00775816" w:rsidRPr="00774ED1" w:rsidRDefault="00775816" w:rsidP="00775816">
      <w:pPr>
        <w:spacing w:after="0"/>
      </w:pPr>
    </w:p>
    <w:p w:rsidR="00775816" w:rsidRPr="00774ED1" w:rsidRDefault="00291786" w:rsidP="00775816">
      <w:pPr>
        <w:spacing w:after="0"/>
      </w:pPr>
      <w:r w:rsidRPr="00774ED1">
        <w:t>VLN/PCN: 313/50C1.00</w:t>
      </w:r>
      <w:r w:rsidR="00775816" w:rsidRPr="00774ED1">
        <w:br/>
      </w:r>
    </w:p>
    <w:p w:rsidR="00775816" w:rsidRPr="00774ED1" w:rsidRDefault="00775816" w:rsidP="00775816">
      <w:pPr>
        <w:spacing w:after="0"/>
      </w:pPr>
    </w:p>
    <w:p w:rsidR="00775816" w:rsidRPr="00774ED1" w:rsidRDefault="00775816" w:rsidP="00775816">
      <w:pPr>
        <w:spacing w:after="0"/>
      </w:pPr>
      <w:r w:rsidRPr="00774ED1">
        <w:t>*IDEXX a Test With Confidence jsou ochranné známky nebo registrované ochranné známky</w:t>
      </w:r>
    </w:p>
    <w:p w:rsidR="00775816" w:rsidRPr="00774ED1" w:rsidRDefault="00775816" w:rsidP="00775816">
      <w:pPr>
        <w:spacing w:after="0"/>
      </w:pPr>
      <w:r w:rsidRPr="00774ED1">
        <w:t>společnosti IDEXX Laboratories, Inc. nebo jejích přidružených společností ve Spojených státech amerických a/nebo v jiných zemích.</w:t>
      </w:r>
    </w:p>
    <w:p w:rsidR="00775816" w:rsidRPr="00774ED1" w:rsidRDefault="00775816" w:rsidP="00775816">
      <w:pPr>
        <w:spacing w:after="0"/>
      </w:pPr>
    </w:p>
    <w:p w:rsidR="00775816" w:rsidRPr="00774ED1" w:rsidRDefault="00775816" w:rsidP="00775816">
      <w:pPr>
        <w:spacing w:after="0"/>
      </w:pPr>
      <w:r w:rsidRPr="00774ED1">
        <w:t>©20</w:t>
      </w:r>
      <w:r w:rsidR="00291786" w:rsidRPr="00774ED1">
        <w:t>22</w:t>
      </w:r>
      <w:r w:rsidRPr="00774ED1">
        <w:t xml:space="preserve"> IDEXX Laboratories, Inc. Všechna práva vyhrazena.</w:t>
      </w:r>
    </w:p>
    <w:p w:rsidR="00775816" w:rsidRPr="00774ED1" w:rsidRDefault="00775816" w:rsidP="00775816">
      <w:pPr>
        <w:spacing w:after="0"/>
      </w:pPr>
    </w:p>
    <w:p w:rsidR="00291786" w:rsidRPr="00774ED1" w:rsidRDefault="00291786" w:rsidP="00775816">
      <w:pPr>
        <w:spacing w:after="0"/>
        <w:rPr>
          <w:b/>
        </w:rPr>
      </w:pPr>
    </w:p>
    <w:p w:rsidR="00291786" w:rsidRPr="00774ED1" w:rsidRDefault="00291786" w:rsidP="00775816">
      <w:pPr>
        <w:spacing w:after="0"/>
        <w:rPr>
          <w:b/>
        </w:rPr>
      </w:pPr>
    </w:p>
    <w:p w:rsidR="00291786" w:rsidRPr="00774ED1" w:rsidRDefault="00291786" w:rsidP="00775816">
      <w:pPr>
        <w:spacing w:after="0"/>
        <w:rPr>
          <w:b/>
        </w:rPr>
      </w:pPr>
    </w:p>
    <w:p w:rsidR="00291786" w:rsidRPr="00774ED1" w:rsidRDefault="00291786" w:rsidP="00775816">
      <w:pPr>
        <w:spacing w:after="0"/>
        <w:rPr>
          <w:b/>
        </w:rPr>
      </w:pPr>
    </w:p>
    <w:p w:rsidR="00291786" w:rsidRPr="00774ED1" w:rsidRDefault="00291786" w:rsidP="00775816">
      <w:pPr>
        <w:spacing w:after="0"/>
        <w:rPr>
          <w:b/>
        </w:rPr>
      </w:pPr>
    </w:p>
    <w:p w:rsidR="00291786" w:rsidRPr="00774ED1" w:rsidRDefault="00291786" w:rsidP="00775816">
      <w:pPr>
        <w:spacing w:after="0"/>
        <w:rPr>
          <w:b/>
        </w:rPr>
      </w:pPr>
    </w:p>
    <w:p w:rsidR="00291786" w:rsidRPr="00774ED1" w:rsidRDefault="00291786" w:rsidP="00775816">
      <w:pPr>
        <w:spacing w:after="0"/>
        <w:rPr>
          <w:b/>
        </w:rPr>
      </w:pPr>
    </w:p>
    <w:p w:rsidR="00291786" w:rsidRPr="00774ED1" w:rsidRDefault="00291786" w:rsidP="00775816">
      <w:pPr>
        <w:spacing w:after="0"/>
        <w:rPr>
          <w:b/>
        </w:rPr>
      </w:pPr>
    </w:p>
    <w:p w:rsidR="00291786" w:rsidRPr="00774ED1" w:rsidRDefault="00291786" w:rsidP="00775816">
      <w:pPr>
        <w:spacing w:after="0"/>
        <w:rPr>
          <w:b/>
        </w:rPr>
      </w:pPr>
    </w:p>
    <w:p w:rsidR="00775816" w:rsidRPr="00774ED1" w:rsidRDefault="00291786" w:rsidP="00291786">
      <w:pPr>
        <w:spacing w:after="0"/>
        <w:jc w:val="center"/>
      </w:pPr>
      <w:r w:rsidRPr="00774ED1">
        <w:rPr>
          <w:b/>
        </w:rPr>
        <w:lastRenderedPageBreak/>
        <w:t>VAROVÁNÍ</w:t>
      </w:r>
    </w:p>
    <w:p w:rsidR="00775816" w:rsidRPr="00774ED1" w:rsidRDefault="00291786" w:rsidP="00775816">
      <w:pPr>
        <w:spacing w:after="0"/>
      </w:pPr>
      <w:r w:rsidRPr="00774ED1">
        <w:rPr>
          <w:rFonts w:ascii="Arial" w:hAnsi="Arial" w:cs="Arial"/>
          <w:lang w:eastAsia="cs-CZ"/>
        </w:rPr>
        <w:drawing>
          <wp:inline distT="0" distB="0" distL="0" distR="0" wp14:anchorId="21F6DE09" wp14:editId="16B0BE36">
            <wp:extent cx="5759450" cy="334645"/>
            <wp:effectExtent l="0" t="0" r="0" b="825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786" w:rsidRPr="00774ED1" w:rsidRDefault="00291786" w:rsidP="00291786">
      <w:pPr>
        <w:spacing w:after="0"/>
      </w:pPr>
      <w:r w:rsidRPr="00774ED1">
        <w:rPr>
          <w:b/>
        </w:rPr>
        <w:t>Pozitivní kontrola/Negativní kontrola/Konjugát/Ředící roztok</w:t>
      </w:r>
      <w:r w:rsidRPr="00774ED1">
        <w:t xml:space="preserve"> - Může vyvolat alergickou kožní reakci. Škodlivý pro vodní organismy, s dlouhodobými účinky. Zamezte vdechování prachu/dýmu/plynu/mlhy/par/aerosolů. Používejte ochranné rukavice. PŘI STYKU S KŮŽÍ: Omyjte velkým množstvím vody s mýdlem. Při podráždění kůže nebo vyrážce: Vyhledejte lékařskou pomoc/ošetření.</w:t>
      </w:r>
    </w:p>
    <w:p w:rsidR="00291786" w:rsidRPr="00774ED1" w:rsidRDefault="00291786" w:rsidP="00775816">
      <w:pPr>
        <w:spacing w:after="0"/>
      </w:pPr>
    </w:p>
    <w:p w:rsidR="00291786" w:rsidRPr="00774ED1" w:rsidRDefault="00291786" w:rsidP="00291786">
      <w:pPr>
        <w:rPr>
          <w:rFonts w:cs="TTE1965D00t00"/>
          <w:b/>
          <w:color w:val="000000"/>
        </w:rPr>
      </w:pPr>
      <w:r w:rsidRPr="00774ED1">
        <w:rPr>
          <w:rFonts w:cs="TTE1965D00t00"/>
          <w:b/>
          <w:color w:val="000000"/>
        </w:rPr>
        <w:t>Popis symbolů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245"/>
      </w:tblGrid>
      <w:tr w:rsidR="009A1E5F" w:rsidRPr="00774ED1" w:rsidTr="00327EFB">
        <w:tc>
          <w:tcPr>
            <w:tcW w:w="1980" w:type="dxa"/>
          </w:tcPr>
          <w:p w:rsidR="009A1E5F" w:rsidRPr="00774ED1" w:rsidRDefault="009A1E5F" w:rsidP="00327EFB">
            <w:pPr>
              <w:rPr>
                <w:rFonts w:cs="TTE1965D00t00"/>
                <w:b/>
                <w:color w:val="000000"/>
              </w:rPr>
            </w:pPr>
            <w:r w:rsidRPr="00774ED1">
              <w:rPr>
                <w:rFonts w:cs="TTE1965D00t00"/>
                <w:color w:val="000000"/>
                <w:lang w:eastAsia="cs-CZ"/>
              </w:rPr>
              <w:drawing>
                <wp:inline distT="0" distB="0" distL="0" distR="0" wp14:anchorId="48D5CC20" wp14:editId="4D04C5A9">
                  <wp:extent cx="445135" cy="314960"/>
                  <wp:effectExtent l="0" t="0" r="0" b="889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9A1E5F" w:rsidRPr="00774ED1" w:rsidRDefault="009A1E5F" w:rsidP="00327EFB">
            <w:pPr>
              <w:rPr>
                <w:rFonts w:cs="TTE1965D00t00"/>
                <w:b/>
                <w:color w:val="000000"/>
              </w:rPr>
            </w:pPr>
            <w:r w:rsidRPr="00774ED1">
              <w:rPr>
                <w:rFonts w:cs="TTE1965D00t00"/>
                <w:color w:val="000000"/>
              </w:rPr>
              <w:t>Kód šarže</w:t>
            </w:r>
          </w:p>
        </w:tc>
      </w:tr>
      <w:tr w:rsidR="009A1E5F" w:rsidRPr="00774ED1" w:rsidTr="00327EFB">
        <w:tc>
          <w:tcPr>
            <w:tcW w:w="1980" w:type="dxa"/>
          </w:tcPr>
          <w:p w:rsidR="009A1E5F" w:rsidRPr="00774ED1" w:rsidRDefault="009A1E5F" w:rsidP="00327EFB">
            <w:pPr>
              <w:rPr>
                <w:rFonts w:cs="TTE1965D00t00"/>
                <w:b/>
                <w:color w:val="000000"/>
              </w:rPr>
            </w:pPr>
            <w:r w:rsidRPr="00774ED1">
              <w:rPr>
                <w:rFonts w:cs="TTE1965D00t00"/>
                <w:color w:val="000000"/>
                <w:lang w:eastAsia="cs-CZ"/>
              </w:rPr>
              <w:drawing>
                <wp:inline distT="0" distB="0" distL="0" distR="0" wp14:anchorId="4B1FBCA9" wp14:editId="1B957830">
                  <wp:extent cx="522605" cy="42164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9A1E5F" w:rsidRPr="00774ED1" w:rsidRDefault="009A1E5F" w:rsidP="00327EFB">
            <w:pPr>
              <w:rPr>
                <w:rFonts w:cs="TTE1965D00t00"/>
                <w:b/>
                <w:color w:val="000000"/>
              </w:rPr>
            </w:pPr>
            <w:r w:rsidRPr="00774ED1">
              <w:rPr>
                <w:rFonts w:cs="TTE1965D00t00"/>
                <w:color w:val="000000"/>
              </w:rPr>
              <w:t>Sériové číslo</w:t>
            </w:r>
          </w:p>
        </w:tc>
      </w:tr>
      <w:tr w:rsidR="009A1E5F" w:rsidRPr="00774ED1" w:rsidTr="00327EFB">
        <w:tc>
          <w:tcPr>
            <w:tcW w:w="1980" w:type="dxa"/>
          </w:tcPr>
          <w:p w:rsidR="009A1E5F" w:rsidRPr="00774ED1" w:rsidRDefault="009A1E5F" w:rsidP="00327EFB">
            <w:pPr>
              <w:rPr>
                <w:rFonts w:cs="TTE1965D00t00"/>
                <w:b/>
                <w:color w:val="000000"/>
              </w:rPr>
            </w:pPr>
            <w:r w:rsidRPr="00774ED1">
              <w:rPr>
                <w:rFonts w:cs="TTE1965D00t00"/>
                <w:color w:val="000000"/>
                <w:lang w:eastAsia="cs-CZ"/>
              </w:rPr>
              <w:drawing>
                <wp:inline distT="0" distB="0" distL="0" distR="0" wp14:anchorId="50308647" wp14:editId="709C3E83">
                  <wp:extent cx="487045" cy="421640"/>
                  <wp:effectExtent l="0" t="0" r="825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9A1E5F" w:rsidRPr="00774ED1" w:rsidRDefault="009A1E5F" w:rsidP="00327EFB">
            <w:pPr>
              <w:rPr>
                <w:rFonts w:cs="TTE1965D00t00"/>
                <w:b/>
                <w:color w:val="000000"/>
              </w:rPr>
            </w:pPr>
            <w:r w:rsidRPr="00774ED1">
              <w:rPr>
                <w:rFonts w:cs="TTE1965D00t00"/>
                <w:color w:val="000000"/>
              </w:rPr>
              <w:t>Katalogové číslo</w:t>
            </w:r>
          </w:p>
        </w:tc>
      </w:tr>
      <w:tr w:rsidR="009A1E5F" w:rsidRPr="00774ED1" w:rsidTr="00327EFB">
        <w:tc>
          <w:tcPr>
            <w:tcW w:w="1980" w:type="dxa"/>
          </w:tcPr>
          <w:p w:rsidR="009A1E5F" w:rsidRPr="00774ED1" w:rsidRDefault="009A1E5F" w:rsidP="00327EFB">
            <w:pPr>
              <w:rPr>
                <w:rFonts w:cs="TTE1965D00t00"/>
                <w:b/>
                <w:color w:val="000000"/>
              </w:rPr>
            </w:pPr>
            <w:r w:rsidRPr="00774ED1">
              <w:rPr>
                <w:rFonts w:cs="TTE1965D00t00"/>
                <w:color w:val="000000"/>
                <w:lang w:eastAsia="cs-CZ"/>
              </w:rPr>
              <w:drawing>
                <wp:inline distT="0" distB="0" distL="0" distR="0" wp14:anchorId="351716EF" wp14:editId="51D7A5AA">
                  <wp:extent cx="563880" cy="409575"/>
                  <wp:effectExtent l="0" t="0" r="7620" b="952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9A1E5F" w:rsidRPr="00774ED1" w:rsidRDefault="009A1E5F" w:rsidP="00327EFB">
            <w:pPr>
              <w:rPr>
                <w:rFonts w:cs="TTE1965D00t00"/>
                <w:b/>
                <w:color w:val="000000"/>
              </w:rPr>
            </w:pPr>
            <w:r w:rsidRPr="00774ED1">
              <w:rPr>
                <w:rFonts w:cs="TTE1965D00t00"/>
                <w:color w:val="000000"/>
              </w:rPr>
              <w:t>Diagnostika in vitro</w:t>
            </w:r>
          </w:p>
        </w:tc>
      </w:tr>
      <w:tr w:rsidR="009A1E5F" w:rsidRPr="00774ED1" w:rsidTr="00327EFB">
        <w:tc>
          <w:tcPr>
            <w:tcW w:w="1980" w:type="dxa"/>
          </w:tcPr>
          <w:p w:rsidR="009A1E5F" w:rsidRPr="00774ED1" w:rsidRDefault="009A1E5F" w:rsidP="00327EFB">
            <w:pPr>
              <w:rPr>
                <w:rFonts w:cs="TTE1965D00t00"/>
                <w:b/>
                <w:color w:val="000000"/>
              </w:rPr>
            </w:pPr>
            <w:r w:rsidRPr="00774ED1">
              <w:rPr>
                <w:rFonts w:cs="TTE1965D00t00"/>
                <w:color w:val="000000"/>
                <w:lang w:eastAsia="cs-CZ"/>
              </w:rPr>
              <w:drawing>
                <wp:inline distT="0" distB="0" distL="0" distR="0" wp14:anchorId="58FB589A" wp14:editId="3D82F0B9">
                  <wp:extent cx="563880" cy="445135"/>
                  <wp:effectExtent l="0" t="0" r="762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9A1E5F" w:rsidRPr="00774ED1" w:rsidRDefault="009A1E5F" w:rsidP="00327EFB">
            <w:pPr>
              <w:rPr>
                <w:rFonts w:cs="TTE1965D00t00"/>
                <w:b/>
                <w:color w:val="000000"/>
              </w:rPr>
            </w:pPr>
            <w:r w:rsidRPr="00774ED1">
              <w:rPr>
                <w:rFonts w:cs="TTE1965D00t00"/>
                <w:color w:val="000000"/>
              </w:rPr>
              <w:t>Autorizovaný zástupce v Evropském společenství</w:t>
            </w:r>
          </w:p>
        </w:tc>
      </w:tr>
      <w:tr w:rsidR="009A1E5F" w:rsidRPr="00774ED1" w:rsidTr="00327EFB">
        <w:tc>
          <w:tcPr>
            <w:tcW w:w="1980" w:type="dxa"/>
          </w:tcPr>
          <w:p w:rsidR="009A1E5F" w:rsidRPr="00774ED1" w:rsidRDefault="009A1E5F" w:rsidP="00327EFB">
            <w:pPr>
              <w:rPr>
                <w:rFonts w:cs="TTE1965D00t00"/>
                <w:b/>
                <w:color w:val="000000"/>
              </w:rPr>
            </w:pPr>
            <w:r w:rsidRPr="00774ED1">
              <w:rPr>
                <w:rFonts w:cs="TTE1965D00t00"/>
                <w:color w:val="000000"/>
                <w:lang w:eastAsia="cs-CZ"/>
              </w:rPr>
              <w:drawing>
                <wp:inline distT="0" distB="0" distL="0" distR="0" wp14:anchorId="6359CECF" wp14:editId="075FC0BB">
                  <wp:extent cx="754380" cy="379730"/>
                  <wp:effectExtent l="0" t="0" r="7620" b="127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9A1E5F" w:rsidRPr="00774ED1" w:rsidRDefault="009A1E5F" w:rsidP="00327EFB">
            <w:pPr>
              <w:rPr>
                <w:rFonts w:cs="TTE1965D00t00"/>
                <w:b/>
                <w:color w:val="000000"/>
              </w:rPr>
            </w:pPr>
            <w:r w:rsidRPr="00774ED1">
              <w:rPr>
                <w:rFonts w:cs="TTE1965D00t00"/>
                <w:color w:val="000000"/>
              </w:rPr>
              <w:t>Pozitivní kontrolní vzorek</w:t>
            </w:r>
          </w:p>
        </w:tc>
      </w:tr>
      <w:tr w:rsidR="009A1E5F" w:rsidRPr="00774ED1" w:rsidTr="00327EFB">
        <w:tc>
          <w:tcPr>
            <w:tcW w:w="1980" w:type="dxa"/>
          </w:tcPr>
          <w:p w:rsidR="009A1E5F" w:rsidRPr="00774ED1" w:rsidRDefault="009A1E5F" w:rsidP="00327EFB">
            <w:pPr>
              <w:rPr>
                <w:rFonts w:cs="TTE1965D00t00"/>
                <w:b/>
                <w:color w:val="000000"/>
              </w:rPr>
            </w:pPr>
            <w:r w:rsidRPr="00774ED1">
              <w:rPr>
                <w:rFonts w:cs="TTE1965D00t00"/>
                <w:color w:val="000000"/>
                <w:lang w:eastAsia="cs-CZ"/>
              </w:rPr>
              <w:drawing>
                <wp:inline distT="0" distB="0" distL="0" distR="0" wp14:anchorId="7F717E20" wp14:editId="40009AAB">
                  <wp:extent cx="789940" cy="297180"/>
                  <wp:effectExtent l="0" t="0" r="0" b="762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9A1E5F" w:rsidRPr="00774ED1" w:rsidRDefault="009A1E5F" w:rsidP="00327EFB">
            <w:pPr>
              <w:rPr>
                <w:rFonts w:cs="TTE1965D00t00"/>
                <w:b/>
                <w:color w:val="000000"/>
              </w:rPr>
            </w:pPr>
            <w:r w:rsidRPr="00774ED1">
              <w:rPr>
                <w:rFonts w:cs="TTE1965D00t00"/>
                <w:color w:val="000000"/>
              </w:rPr>
              <w:t>Negativní kontrolní vzorek</w:t>
            </w:r>
          </w:p>
        </w:tc>
      </w:tr>
      <w:tr w:rsidR="009A1E5F" w:rsidRPr="00774ED1" w:rsidTr="00327EFB">
        <w:tc>
          <w:tcPr>
            <w:tcW w:w="1980" w:type="dxa"/>
          </w:tcPr>
          <w:p w:rsidR="009A1E5F" w:rsidRPr="00774ED1" w:rsidRDefault="009A1E5F" w:rsidP="00327EFB">
            <w:pPr>
              <w:rPr>
                <w:rFonts w:cs="TTE1965D00t00"/>
                <w:b/>
                <w:color w:val="000000"/>
              </w:rPr>
            </w:pPr>
            <w:r w:rsidRPr="00774ED1">
              <w:rPr>
                <w:rFonts w:cs="TTE1965D00t00"/>
                <w:color w:val="000000"/>
                <w:lang w:eastAsia="cs-CZ"/>
              </w:rPr>
              <w:drawing>
                <wp:inline distT="0" distB="0" distL="0" distR="0" wp14:anchorId="723A7480" wp14:editId="47943F4C">
                  <wp:extent cx="445135" cy="581660"/>
                  <wp:effectExtent l="0" t="0" r="0" b="889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9A1E5F" w:rsidRPr="00774ED1" w:rsidRDefault="009A1E5F" w:rsidP="00327EFB">
            <w:pPr>
              <w:rPr>
                <w:rFonts w:cs="TTE1965D00t00"/>
                <w:color w:val="000000"/>
              </w:rPr>
            </w:pPr>
          </w:p>
          <w:p w:rsidR="009A1E5F" w:rsidRPr="00774ED1" w:rsidRDefault="009A1E5F" w:rsidP="00327EFB">
            <w:pPr>
              <w:rPr>
                <w:rFonts w:cs="TTE1965D00t00"/>
                <w:b/>
                <w:color w:val="000000"/>
              </w:rPr>
            </w:pPr>
            <w:r w:rsidRPr="00774ED1">
              <w:rPr>
                <w:rFonts w:cs="TTE1965D00t00"/>
                <w:color w:val="000000"/>
              </w:rPr>
              <w:t>Použijte do</w:t>
            </w:r>
          </w:p>
        </w:tc>
      </w:tr>
      <w:tr w:rsidR="009A1E5F" w:rsidRPr="00774ED1" w:rsidTr="00327EFB">
        <w:tc>
          <w:tcPr>
            <w:tcW w:w="1980" w:type="dxa"/>
          </w:tcPr>
          <w:p w:rsidR="009A1E5F" w:rsidRPr="00774ED1" w:rsidRDefault="009A1E5F" w:rsidP="00327EFB">
            <w:pPr>
              <w:rPr>
                <w:rFonts w:cs="TTE1965D00t00"/>
                <w:color w:val="000000"/>
              </w:rPr>
            </w:pPr>
            <w:r w:rsidRPr="00774ED1">
              <w:rPr>
                <w:rFonts w:cs="TTE1965D00t00"/>
                <w:color w:val="000000"/>
                <w:lang w:eastAsia="cs-CZ"/>
              </w:rPr>
              <w:drawing>
                <wp:inline distT="0" distB="0" distL="0" distR="0" wp14:anchorId="1D4D168F" wp14:editId="31673E85">
                  <wp:extent cx="487045" cy="487045"/>
                  <wp:effectExtent l="0" t="0" r="8255" b="8255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9A1E5F" w:rsidRPr="00774ED1" w:rsidRDefault="009A1E5F" w:rsidP="00327EFB">
            <w:pPr>
              <w:rPr>
                <w:rFonts w:cs="TTE1965D00t00"/>
                <w:color w:val="000000"/>
              </w:rPr>
            </w:pPr>
          </w:p>
          <w:p w:rsidR="009A1E5F" w:rsidRPr="00774ED1" w:rsidRDefault="009A1E5F" w:rsidP="00327EFB">
            <w:pPr>
              <w:rPr>
                <w:rFonts w:cs="TTE1965D00t00"/>
                <w:color w:val="000000"/>
              </w:rPr>
            </w:pPr>
            <w:r w:rsidRPr="00774ED1">
              <w:rPr>
                <w:rFonts w:cs="TTE1965D00t00"/>
                <w:color w:val="000000"/>
              </w:rPr>
              <w:t>Datum výroby</w:t>
            </w:r>
          </w:p>
        </w:tc>
      </w:tr>
      <w:tr w:rsidR="009A1E5F" w:rsidRPr="00774ED1" w:rsidTr="00327EFB">
        <w:tc>
          <w:tcPr>
            <w:tcW w:w="1980" w:type="dxa"/>
          </w:tcPr>
          <w:p w:rsidR="009A1E5F" w:rsidRPr="00774ED1" w:rsidRDefault="009A1E5F" w:rsidP="00327EFB">
            <w:pPr>
              <w:rPr>
                <w:rFonts w:cs="TTE1965D00t00"/>
                <w:color w:val="000000"/>
              </w:rPr>
            </w:pPr>
            <w:r w:rsidRPr="00774ED1">
              <w:rPr>
                <w:rFonts w:cs="TTE1965D00t00"/>
                <w:color w:val="000000"/>
                <w:lang w:eastAsia="cs-CZ"/>
              </w:rPr>
              <w:drawing>
                <wp:inline distT="0" distB="0" distL="0" distR="0" wp14:anchorId="60D65499" wp14:editId="19785B15">
                  <wp:extent cx="487045" cy="611505"/>
                  <wp:effectExtent l="0" t="0" r="8255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9A1E5F" w:rsidRPr="00774ED1" w:rsidRDefault="009A1E5F" w:rsidP="00327EFB">
            <w:pPr>
              <w:rPr>
                <w:rFonts w:cs="TTE1965D00t00"/>
                <w:color w:val="000000"/>
              </w:rPr>
            </w:pPr>
          </w:p>
          <w:p w:rsidR="009A1E5F" w:rsidRPr="00774ED1" w:rsidRDefault="009A1E5F" w:rsidP="00327EFB">
            <w:pPr>
              <w:rPr>
                <w:rFonts w:cs="TTE1965D00t00"/>
                <w:color w:val="000000"/>
              </w:rPr>
            </w:pPr>
            <w:r w:rsidRPr="00774ED1">
              <w:rPr>
                <w:rFonts w:cs="TTE1965D00t00"/>
                <w:color w:val="000000"/>
              </w:rPr>
              <w:t>Výrobce</w:t>
            </w:r>
          </w:p>
        </w:tc>
      </w:tr>
      <w:tr w:rsidR="009A1E5F" w:rsidRPr="00774ED1" w:rsidTr="00327EFB">
        <w:tc>
          <w:tcPr>
            <w:tcW w:w="1980" w:type="dxa"/>
          </w:tcPr>
          <w:p w:rsidR="009A1E5F" w:rsidRPr="00774ED1" w:rsidRDefault="009A1E5F" w:rsidP="00327EFB">
            <w:pPr>
              <w:rPr>
                <w:rFonts w:cs="TTE1965D00t00"/>
                <w:color w:val="000000"/>
              </w:rPr>
            </w:pPr>
            <w:r w:rsidRPr="00774ED1">
              <w:rPr>
                <w:rFonts w:cs="TTE1965D00t00"/>
                <w:color w:val="000000"/>
                <w:lang w:eastAsia="cs-CZ"/>
              </w:rPr>
              <w:drawing>
                <wp:inline distT="0" distB="0" distL="0" distR="0" wp14:anchorId="394B04E1" wp14:editId="0E06F3D3">
                  <wp:extent cx="445135" cy="647065"/>
                  <wp:effectExtent l="0" t="0" r="0" b="635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9A1E5F" w:rsidRPr="00774ED1" w:rsidRDefault="009A1E5F" w:rsidP="00327EFB">
            <w:pPr>
              <w:rPr>
                <w:rFonts w:cs="TTE1965D00t00"/>
                <w:color w:val="000000"/>
              </w:rPr>
            </w:pPr>
          </w:p>
          <w:p w:rsidR="009A1E5F" w:rsidRPr="00774ED1" w:rsidRDefault="009A1E5F" w:rsidP="00327EFB">
            <w:pPr>
              <w:rPr>
                <w:rFonts w:cs="TTE1965D00t00"/>
                <w:color w:val="000000"/>
              </w:rPr>
            </w:pPr>
            <w:r w:rsidRPr="00774ED1">
              <w:rPr>
                <w:rFonts w:cs="TTE1965D00t00"/>
                <w:color w:val="000000"/>
              </w:rPr>
              <w:t>Teplotní omezení</w:t>
            </w:r>
          </w:p>
        </w:tc>
      </w:tr>
      <w:tr w:rsidR="009A1E5F" w:rsidRPr="00774ED1" w:rsidTr="00327EFB">
        <w:tc>
          <w:tcPr>
            <w:tcW w:w="1980" w:type="dxa"/>
          </w:tcPr>
          <w:p w:rsidR="009A1E5F" w:rsidRPr="00774ED1" w:rsidRDefault="009A1E5F" w:rsidP="00327EFB">
            <w:pPr>
              <w:rPr>
                <w:rFonts w:cs="TTE1965D00t00"/>
                <w:color w:val="000000"/>
              </w:rPr>
            </w:pPr>
            <w:r w:rsidRPr="00774ED1">
              <w:rPr>
                <w:rFonts w:cs="TTE1965D00t00"/>
                <w:color w:val="000000"/>
                <w:lang w:eastAsia="cs-CZ"/>
              </w:rPr>
              <w:drawing>
                <wp:inline distT="0" distB="0" distL="0" distR="0" wp14:anchorId="3BC48F17" wp14:editId="7EB229FC">
                  <wp:extent cx="599440" cy="647065"/>
                  <wp:effectExtent l="0" t="0" r="0" b="635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9A1E5F" w:rsidRPr="00774ED1" w:rsidRDefault="009A1E5F" w:rsidP="00327EFB">
            <w:pPr>
              <w:rPr>
                <w:rFonts w:cs="TTE1965D00t00"/>
                <w:color w:val="000000"/>
              </w:rPr>
            </w:pPr>
          </w:p>
          <w:p w:rsidR="009A1E5F" w:rsidRPr="00774ED1" w:rsidRDefault="009A1E5F" w:rsidP="00327EFB">
            <w:pPr>
              <w:rPr>
                <w:rFonts w:cs="TTE1965D00t00"/>
                <w:color w:val="000000"/>
              </w:rPr>
            </w:pPr>
            <w:r w:rsidRPr="00774ED1">
              <w:rPr>
                <w:rFonts w:cs="TTE1965D00t00"/>
                <w:color w:val="000000"/>
              </w:rPr>
              <w:t>Čtěte návod na použití</w:t>
            </w:r>
          </w:p>
        </w:tc>
      </w:tr>
      <w:tr w:rsidR="009A1E5F" w:rsidRPr="00774ED1" w:rsidTr="00327EFB">
        <w:tc>
          <w:tcPr>
            <w:tcW w:w="1980" w:type="dxa"/>
          </w:tcPr>
          <w:p w:rsidR="009A1E5F" w:rsidRPr="00774ED1" w:rsidRDefault="009A1E5F" w:rsidP="00327EFB">
            <w:pPr>
              <w:rPr>
                <w:rFonts w:cs="TTE1965D00t00"/>
                <w:color w:val="000000"/>
              </w:rPr>
            </w:pPr>
            <w:r w:rsidRPr="00774ED1">
              <w:rPr>
                <w:rFonts w:cs="Swiss721BT-Bold"/>
                <w:b/>
                <w:bCs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1401B770" wp14:editId="20E70627">
                  <wp:extent cx="332740" cy="302895"/>
                  <wp:effectExtent l="0" t="0" r="0" b="1905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9A1E5F" w:rsidRPr="00774ED1" w:rsidRDefault="009A1E5F" w:rsidP="00327EFB">
            <w:pPr>
              <w:rPr>
                <w:rFonts w:cs="TTE1965D00t00"/>
                <w:color w:val="000000"/>
              </w:rPr>
            </w:pPr>
            <w:r w:rsidRPr="00774ED1">
              <w:rPr>
                <w:rFonts w:cs="Swiss721BT-Bold"/>
                <w:bCs/>
                <w:color w:val="000000"/>
              </w:rPr>
              <w:t>Větší změna v návodu na použití</w:t>
            </w:r>
          </w:p>
        </w:tc>
      </w:tr>
      <w:tr w:rsidR="009A1E5F" w:rsidRPr="00774ED1" w:rsidTr="00327EFB">
        <w:tc>
          <w:tcPr>
            <w:tcW w:w="1980" w:type="dxa"/>
          </w:tcPr>
          <w:p w:rsidR="009A1E5F" w:rsidRPr="00774ED1" w:rsidRDefault="009A1E5F" w:rsidP="00327EFB">
            <w:pPr>
              <w:rPr>
                <w:rFonts w:cs="Swiss721BT-Bold"/>
                <w:b/>
                <w:bCs/>
                <w:color w:val="000000"/>
                <w:sz w:val="24"/>
                <w:szCs w:val="24"/>
              </w:rPr>
            </w:pPr>
          </w:p>
          <w:p w:rsidR="009A1E5F" w:rsidRPr="00774ED1" w:rsidRDefault="009A1E5F" w:rsidP="00327EFB">
            <w:pPr>
              <w:rPr>
                <w:rFonts w:cs="Swiss721BT-Bold"/>
                <w:b/>
                <w:bCs/>
                <w:color w:val="000000"/>
                <w:sz w:val="24"/>
                <w:szCs w:val="24"/>
              </w:rPr>
            </w:pPr>
          </w:p>
          <w:p w:rsidR="009A1E5F" w:rsidRPr="00774ED1" w:rsidRDefault="009A1E5F" w:rsidP="00327EFB">
            <w:pPr>
              <w:rPr>
                <w:rFonts w:cs="Swiss721BT-Bold"/>
                <w:b/>
                <w:bCs/>
                <w:color w:val="000000"/>
                <w:sz w:val="24"/>
                <w:szCs w:val="24"/>
              </w:rPr>
            </w:pPr>
          </w:p>
          <w:p w:rsidR="009A1E5F" w:rsidRPr="00774ED1" w:rsidRDefault="009A1E5F" w:rsidP="00327EFB">
            <w:pPr>
              <w:rPr>
                <w:rFonts w:cs="Swiss721BT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9A1E5F" w:rsidRPr="00774ED1" w:rsidRDefault="009A1E5F" w:rsidP="00327EFB">
            <w:pPr>
              <w:rPr>
                <w:rFonts w:cs="Swiss721BT-Bold"/>
                <w:bCs/>
                <w:color w:val="000000"/>
              </w:rPr>
            </w:pPr>
          </w:p>
        </w:tc>
      </w:tr>
    </w:tbl>
    <w:p w:rsidR="00775816" w:rsidRPr="00774ED1" w:rsidRDefault="00775816" w:rsidP="00775816">
      <w:pPr>
        <w:spacing w:after="0"/>
      </w:pPr>
    </w:p>
    <w:p w:rsidR="00775816" w:rsidRPr="00774ED1" w:rsidRDefault="00775816" w:rsidP="00291786">
      <w:pPr>
        <w:spacing w:after="0"/>
        <w:jc w:val="right"/>
        <w:rPr>
          <w:i/>
        </w:rPr>
      </w:pPr>
      <w:r w:rsidRPr="00774ED1">
        <w:rPr>
          <w:i/>
        </w:rPr>
        <w:t>Výrobce</w:t>
      </w:r>
    </w:p>
    <w:p w:rsidR="00775816" w:rsidRPr="00774ED1" w:rsidRDefault="00775816" w:rsidP="00291786">
      <w:pPr>
        <w:spacing w:after="0"/>
        <w:jc w:val="right"/>
      </w:pPr>
      <w:r w:rsidRPr="00774ED1">
        <w:t>IDEXX Laboratories, Inc.</w:t>
      </w:r>
    </w:p>
    <w:p w:rsidR="00775816" w:rsidRPr="00774ED1" w:rsidRDefault="00775816" w:rsidP="00291786">
      <w:pPr>
        <w:spacing w:after="0"/>
        <w:jc w:val="right"/>
      </w:pPr>
      <w:r w:rsidRPr="00774ED1">
        <w:t>One IDEXX Drive</w:t>
      </w:r>
    </w:p>
    <w:p w:rsidR="00775816" w:rsidRPr="00774ED1" w:rsidRDefault="00775816" w:rsidP="00291786">
      <w:pPr>
        <w:spacing w:after="0"/>
        <w:jc w:val="right"/>
      </w:pPr>
      <w:r w:rsidRPr="00774ED1">
        <w:t>Westbrook, Maine 04092</w:t>
      </w:r>
    </w:p>
    <w:p w:rsidR="00775816" w:rsidRPr="00774ED1" w:rsidRDefault="00775816" w:rsidP="00291786">
      <w:pPr>
        <w:spacing w:after="0"/>
        <w:jc w:val="right"/>
      </w:pPr>
      <w:r w:rsidRPr="00774ED1">
        <w:t>USA</w:t>
      </w:r>
    </w:p>
    <w:p w:rsidR="00775816" w:rsidRPr="00774ED1" w:rsidRDefault="00775816" w:rsidP="00291786">
      <w:pPr>
        <w:spacing w:after="0"/>
        <w:jc w:val="right"/>
      </w:pPr>
    </w:p>
    <w:p w:rsidR="00775816" w:rsidRPr="00774ED1" w:rsidRDefault="00775816" w:rsidP="00291786">
      <w:pPr>
        <w:spacing w:after="0"/>
        <w:jc w:val="right"/>
        <w:rPr>
          <w:i/>
        </w:rPr>
      </w:pPr>
      <w:r w:rsidRPr="00774ED1">
        <w:rPr>
          <w:i/>
        </w:rPr>
        <w:t>Zástupce pro EU</w:t>
      </w:r>
    </w:p>
    <w:p w:rsidR="00775816" w:rsidRPr="00774ED1" w:rsidRDefault="00775816" w:rsidP="00291786">
      <w:pPr>
        <w:spacing w:after="0"/>
        <w:jc w:val="right"/>
      </w:pPr>
      <w:r w:rsidRPr="00774ED1">
        <w:t>IDEXX Europe B.V.</w:t>
      </w:r>
    </w:p>
    <w:p w:rsidR="00775816" w:rsidRPr="00774ED1" w:rsidRDefault="00775816" w:rsidP="00291786">
      <w:pPr>
        <w:spacing w:after="0"/>
        <w:jc w:val="right"/>
      </w:pPr>
      <w:r w:rsidRPr="00774ED1">
        <w:t>P.O. Box 1334</w:t>
      </w:r>
    </w:p>
    <w:p w:rsidR="00775816" w:rsidRPr="00774ED1" w:rsidRDefault="00775816" w:rsidP="00291786">
      <w:pPr>
        <w:spacing w:after="0"/>
        <w:jc w:val="right"/>
      </w:pPr>
      <w:r w:rsidRPr="00774ED1">
        <w:t>2130 EK Hoofddorp</w:t>
      </w:r>
    </w:p>
    <w:p w:rsidR="00775816" w:rsidRPr="00774ED1" w:rsidRDefault="00775816" w:rsidP="00291786">
      <w:pPr>
        <w:spacing w:after="0"/>
        <w:jc w:val="right"/>
      </w:pPr>
      <w:r w:rsidRPr="00774ED1">
        <w:t>Nizozemsko</w:t>
      </w:r>
    </w:p>
    <w:p w:rsidR="00291786" w:rsidRPr="00774ED1" w:rsidRDefault="00291786" w:rsidP="00291786">
      <w:pPr>
        <w:spacing w:after="0"/>
        <w:jc w:val="right"/>
      </w:pPr>
      <w:r w:rsidRPr="00774ED1">
        <w:t>idexx.com</w:t>
      </w:r>
    </w:p>
    <w:p w:rsidR="00291786" w:rsidRPr="00774ED1" w:rsidRDefault="00291786" w:rsidP="00291786">
      <w:pPr>
        <w:spacing w:after="0"/>
        <w:jc w:val="right"/>
      </w:pPr>
      <w:r w:rsidRPr="00774ED1">
        <w:t>IDEXX</w:t>
      </w:r>
      <w:bookmarkEnd w:id="1"/>
    </w:p>
    <w:sectPr w:rsidR="00291786" w:rsidRPr="00774ED1">
      <w:head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455" w:rsidRDefault="00742455" w:rsidP="00C51B6A">
      <w:pPr>
        <w:spacing w:after="0" w:line="240" w:lineRule="auto"/>
      </w:pPr>
      <w:r>
        <w:separator/>
      </w:r>
    </w:p>
  </w:endnote>
  <w:endnote w:type="continuationSeparator" w:id="0">
    <w:p w:rsidR="00742455" w:rsidRDefault="00742455" w:rsidP="00C51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455" w:rsidRDefault="00742455" w:rsidP="00C51B6A">
      <w:pPr>
        <w:spacing w:after="0" w:line="240" w:lineRule="auto"/>
      </w:pPr>
      <w:r>
        <w:separator/>
      </w:r>
    </w:p>
  </w:footnote>
  <w:footnote w:type="continuationSeparator" w:id="0">
    <w:p w:rsidR="00742455" w:rsidRDefault="00742455" w:rsidP="00C51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B6A" w:rsidRDefault="00C51B6A" w:rsidP="00F95AD0">
    <w:pPr>
      <w:jc w:val="both"/>
      <w:rPr>
        <w:b/>
        <w:bCs/>
      </w:rPr>
    </w:pPr>
    <w:r w:rsidRPr="00AD42B7">
      <w:rPr>
        <w:bCs/>
      </w:rPr>
      <w:t>Text příbalové informace</w:t>
    </w:r>
    <w:r w:rsidR="00776DAC">
      <w:rPr>
        <w:bCs/>
      </w:rPr>
      <w:t xml:space="preserve"> </w:t>
    </w:r>
    <w:r w:rsidRPr="00AD42B7">
      <w:rPr>
        <w:bCs/>
      </w:rPr>
      <w:t>součást dokumentace schválené rozhodnutím sp.</w:t>
    </w:r>
    <w:r w:rsidR="00776DAC">
      <w:rPr>
        <w:bCs/>
      </w:rPr>
      <w:t> </w:t>
    </w:r>
    <w:r w:rsidRPr="00AD42B7">
      <w:rPr>
        <w:bCs/>
      </w:rPr>
      <w:t>zn.</w:t>
    </w:r>
    <w:r w:rsidR="00776DAC">
      <w:rPr>
        <w:bCs/>
      </w:rPr>
      <w:t> </w:t>
    </w:r>
    <w:sdt>
      <w:sdtPr>
        <w:rPr>
          <w:bCs/>
        </w:rPr>
        <w:id w:val="485062483"/>
        <w:placeholder>
          <w:docPart w:val="02D6F35DD37046D2978AF73D906C95C1"/>
        </w:placeholder>
        <w:text/>
      </w:sdtPr>
      <w:sdtEndPr/>
      <w:sdtContent>
        <w:r w:rsidR="00FC2468" w:rsidRPr="00FC2468">
          <w:rPr>
            <w:bCs/>
          </w:rPr>
          <w:t>USKVBL/2977/2023/POD</w:t>
        </w:r>
        <w:r w:rsidR="00FC2468">
          <w:rPr>
            <w:bCs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02D6F35DD37046D2978AF73D906C95C1"/>
        </w:placeholder>
        <w:text/>
      </w:sdtPr>
      <w:sdtEndPr/>
      <w:sdtContent>
        <w:r w:rsidR="00FC2468" w:rsidRPr="00FC2468">
          <w:rPr>
            <w:bCs/>
          </w:rPr>
          <w:t>USKVBL/14787/2023/REG-Gro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F8F690DB7D40413DA3A0A3EFD32F543D"/>
        </w:placeholder>
        <w:date w:fullDate="2023-11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C2468">
          <w:rPr>
            <w:bCs/>
          </w:rPr>
          <w:t>16.11.2023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E1193F2170734B79AE15E6B3083390F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FC2468">
          <w:t>prodloužení platnosti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90B3D83289054B9CAAE04AE4E925F45E"/>
        </w:placeholder>
        <w:text/>
      </w:sdtPr>
      <w:sdtEndPr/>
      <w:sdtContent>
        <w:r w:rsidR="00FC2468" w:rsidRPr="00FC2468">
          <w:t>IDEXX CAV</w:t>
        </w:r>
      </w:sdtContent>
    </w:sdt>
  </w:p>
  <w:p w:rsidR="00C51B6A" w:rsidRDefault="00C51B6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55FF5"/>
    <w:multiLevelType w:val="hybridMultilevel"/>
    <w:tmpl w:val="9350D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C54D9"/>
    <w:multiLevelType w:val="hybridMultilevel"/>
    <w:tmpl w:val="1522F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30BEE"/>
    <w:multiLevelType w:val="hybridMultilevel"/>
    <w:tmpl w:val="F81C09A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B490A"/>
    <w:multiLevelType w:val="hybridMultilevel"/>
    <w:tmpl w:val="8B18B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9A"/>
    <w:rsid w:val="000625B9"/>
    <w:rsid w:val="00103A99"/>
    <w:rsid w:val="00291786"/>
    <w:rsid w:val="00315045"/>
    <w:rsid w:val="003C10BA"/>
    <w:rsid w:val="00485FA9"/>
    <w:rsid w:val="0057089A"/>
    <w:rsid w:val="0063160E"/>
    <w:rsid w:val="00641325"/>
    <w:rsid w:val="00697B36"/>
    <w:rsid w:val="006F668B"/>
    <w:rsid w:val="00742455"/>
    <w:rsid w:val="00756186"/>
    <w:rsid w:val="00765108"/>
    <w:rsid w:val="00774ED1"/>
    <w:rsid w:val="00775816"/>
    <w:rsid w:val="00776DAC"/>
    <w:rsid w:val="00847CCD"/>
    <w:rsid w:val="008C0D08"/>
    <w:rsid w:val="009A1E5F"/>
    <w:rsid w:val="009B3694"/>
    <w:rsid w:val="009D63F3"/>
    <w:rsid w:val="00A34CA1"/>
    <w:rsid w:val="00B42FBB"/>
    <w:rsid w:val="00C12E1E"/>
    <w:rsid w:val="00C51B6A"/>
    <w:rsid w:val="00C542E3"/>
    <w:rsid w:val="00C71D32"/>
    <w:rsid w:val="00D0397D"/>
    <w:rsid w:val="00DA2387"/>
    <w:rsid w:val="00F3286F"/>
    <w:rsid w:val="00F95AD0"/>
    <w:rsid w:val="00FC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AF8F3-EC1B-4AF2-A7BB-1634606A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03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0397D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7581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75816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C51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1B6A"/>
  </w:style>
  <w:style w:type="paragraph" w:styleId="Zpat">
    <w:name w:val="footer"/>
    <w:basedOn w:val="Normln"/>
    <w:link w:val="ZpatChar"/>
    <w:uiPriority w:val="99"/>
    <w:unhideWhenUsed/>
    <w:rsid w:val="00C51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1B6A"/>
  </w:style>
  <w:style w:type="character" w:styleId="Zstupntext">
    <w:name w:val="Placeholder Text"/>
    <w:rsid w:val="00C51B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7" Type="http://schemas.openxmlformats.org/officeDocument/2006/relationships/hyperlink" Target="http://www.idexx.com/production/contactlpd" TargetMode="Externa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D6F35DD37046D2978AF73D906C95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E5B77D-9F15-437B-810C-3DEACAB360A3}"/>
      </w:docPartPr>
      <w:docPartBody>
        <w:p w:rsidR="00293AAC" w:rsidRDefault="00730A0A" w:rsidP="00730A0A">
          <w:pPr>
            <w:pStyle w:val="02D6F35DD37046D2978AF73D906C95C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F8F690DB7D40413DA3A0A3EFD32F54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870D14-B48B-446C-A679-9C4FAB8FE883}"/>
      </w:docPartPr>
      <w:docPartBody>
        <w:p w:rsidR="00293AAC" w:rsidRDefault="00730A0A" w:rsidP="00730A0A">
          <w:pPr>
            <w:pStyle w:val="F8F690DB7D40413DA3A0A3EFD32F543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1193F2170734B79AE15E6B3083390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F5B5B2-4EF4-43C3-BF6F-F7386D9C33D6}"/>
      </w:docPartPr>
      <w:docPartBody>
        <w:p w:rsidR="00293AAC" w:rsidRDefault="00730A0A" w:rsidP="00730A0A">
          <w:pPr>
            <w:pStyle w:val="E1193F2170734B79AE15E6B3083390FE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90B3D83289054B9CAAE04AE4E925F4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F23BA0-BCBF-4697-BF52-BFFE629B447D}"/>
      </w:docPartPr>
      <w:docPartBody>
        <w:p w:rsidR="00293AAC" w:rsidRDefault="00730A0A" w:rsidP="00730A0A">
          <w:pPr>
            <w:pStyle w:val="90B3D83289054B9CAAE04AE4E925F45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0A"/>
    <w:rsid w:val="00184E18"/>
    <w:rsid w:val="00213BFD"/>
    <w:rsid w:val="00230E77"/>
    <w:rsid w:val="00293AAC"/>
    <w:rsid w:val="00605035"/>
    <w:rsid w:val="0073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30A0A"/>
    <w:rPr>
      <w:color w:val="808080"/>
    </w:rPr>
  </w:style>
  <w:style w:type="paragraph" w:customStyle="1" w:styleId="02D6F35DD37046D2978AF73D906C95C1">
    <w:name w:val="02D6F35DD37046D2978AF73D906C95C1"/>
    <w:rsid w:val="00730A0A"/>
  </w:style>
  <w:style w:type="paragraph" w:customStyle="1" w:styleId="F8F690DB7D40413DA3A0A3EFD32F543D">
    <w:name w:val="F8F690DB7D40413DA3A0A3EFD32F543D"/>
    <w:rsid w:val="00730A0A"/>
  </w:style>
  <w:style w:type="paragraph" w:customStyle="1" w:styleId="E1193F2170734B79AE15E6B3083390FE">
    <w:name w:val="E1193F2170734B79AE15E6B3083390FE"/>
    <w:rsid w:val="00730A0A"/>
  </w:style>
  <w:style w:type="paragraph" w:customStyle="1" w:styleId="90B3D83289054B9CAAE04AE4E925F45E">
    <w:name w:val="90B3D83289054B9CAAE04AE4E925F45E"/>
    <w:rsid w:val="00730A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1390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Nekvapilová Alena</dc:creator>
  <cp:keywords/>
  <dc:description/>
  <cp:lastModifiedBy>Nepejchalová Leona</cp:lastModifiedBy>
  <cp:revision>10</cp:revision>
  <cp:lastPrinted>2023-11-20T17:30:00Z</cp:lastPrinted>
  <dcterms:created xsi:type="dcterms:W3CDTF">2023-11-08T10:12:00Z</dcterms:created>
  <dcterms:modified xsi:type="dcterms:W3CDTF">2023-11-20T17:30:00Z</dcterms:modified>
</cp:coreProperties>
</file>