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56BBF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F033277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8B3BBED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123D2B86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4FBB5E8A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6226AA13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005781DC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381D7810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  <w:bookmarkStart w:id="0" w:name="_GoBack"/>
      <w:bookmarkEnd w:id="0"/>
    </w:p>
    <w:p w14:paraId="5D93DEEB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0CDBD52F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688E308E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31E9B88A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6E5950C2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737C1F61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7BCCC4A5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79A0EA3F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D4759EA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2551368F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37A6C98B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148E98D0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3D8929B2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52116C1A" w14:textId="77777777" w:rsidR="007D607E" w:rsidRPr="00683A40" w:rsidRDefault="007D607E" w:rsidP="007D607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</w:p>
    <w:p w14:paraId="016D0481" w14:textId="77777777" w:rsidR="007D607E" w:rsidRPr="00683A40" w:rsidRDefault="007D607E" w:rsidP="007D607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cs-CZ" w:eastAsia="en-US"/>
        </w:rPr>
      </w:pPr>
      <w:r w:rsidRPr="00683A40">
        <w:rPr>
          <w:rFonts w:ascii="Times New Roman" w:eastAsia="Times New Roman" w:hAnsi="Times New Roman" w:cs="Times New Roman"/>
          <w:b/>
          <w:lang w:val="cs-CZ" w:eastAsia="en-US"/>
        </w:rPr>
        <w:t>B. PŘÍBALOVÁ INFORMACE</w:t>
      </w:r>
    </w:p>
    <w:p w14:paraId="4E528149" w14:textId="77777777" w:rsidR="00940CF4" w:rsidRPr="00683A40" w:rsidRDefault="007D607E" w:rsidP="00940CF4">
      <w:pPr>
        <w:spacing w:after="0" w:line="240" w:lineRule="auto"/>
        <w:jc w:val="center"/>
        <w:rPr>
          <w:rFonts w:ascii="Times New Roman" w:hAnsi="Times New Roman"/>
          <w:b/>
          <w:lang w:val="cs-CZ"/>
        </w:rPr>
      </w:pPr>
      <w:r w:rsidRPr="00683A40">
        <w:rPr>
          <w:rFonts w:ascii="Times New Roman" w:eastAsia="Times New Roman" w:hAnsi="Times New Roman" w:cs="Times New Roman"/>
          <w:b/>
          <w:lang w:val="cs-CZ" w:eastAsia="en-US"/>
        </w:rPr>
        <w:br w:type="page"/>
      </w:r>
      <w:r w:rsidR="00940CF4" w:rsidRPr="00683A40">
        <w:rPr>
          <w:rFonts w:ascii="Times New Roman" w:hAnsi="Times New Roman"/>
          <w:b/>
          <w:lang w:val="cs-CZ"/>
        </w:rPr>
        <w:lastRenderedPageBreak/>
        <w:t>PŘÍBALOVÁ INFORMACE</w:t>
      </w:r>
    </w:p>
    <w:p w14:paraId="4E369EBE" w14:textId="77777777" w:rsidR="00D315C1" w:rsidRPr="00683A40" w:rsidRDefault="00D315C1" w:rsidP="00940CF4">
      <w:pPr>
        <w:spacing w:after="0" w:line="240" w:lineRule="auto"/>
        <w:jc w:val="center"/>
        <w:rPr>
          <w:rFonts w:ascii="Times New Roman" w:eastAsia="Batang" w:hAnsi="Times New Roman" w:cs="Times New Roman"/>
          <w:lang w:val="cs-CZ" w:eastAsia="en-GB"/>
        </w:rPr>
      </w:pPr>
    </w:p>
    <w:p w14:paraId="2074C06F" w14:textId="77777777" w:rsidR="00940CF4" w:rsidRPr="00683A40" w:rsidRDefault="00940CF4" w:rsidP="00940CF4">
      <w:pPr>
        <w:spacing w:after="0" w:line="240" w:lineRule="auto"/>
        <w:jc w:val="center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 w:cs="Times New Roman"/>
          <w:caps/>
          <w:lang w:val="cs-CZ"/>
        </w:rPr>
        <w:t>CANIGEN DHPP</w:t>
      </w:r>
      <w:r w:rsidRPr="00683A40">
        <w:rPr>
          <w:rFonts w:ascii="Times New Roman" w:hAnsi="Times New Roman" w:cs="Times New Roman"/>
          <w:lang w:val="cs-CZ"/>
        </w:rPr>
        <w:t>i</w:t>
      </w:r>
      <w:r w:rsidR="00D315C1" w:rsidRPr="00683A40">
        <w:rPr>
          <w:rFonts w:ascii="Times New Roman" w:hAnsi="Times New Roman" w:cs="Times New Roman"/>
          <w:lang w:val="cs-CZ"/>
        </w:rPr>
        <w:t>, lyofilizát a rozpouštědlo pro injekční suspenzi pro psy</w:t>
      </w:r>
    </w:p>
    <w:p w14:paraId="3A071AE5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D9FA25A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0242466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683A40">
        <w:rPr>
          <w:rFonts w:ascii="Times New Roman" w:hAnsi="Times New Roman"/>
          <w:b/>
          <w:lang w:val="cs-CZ"/>
        </w:rPr>
        <w:t>1.</w:t>
      </w:r>
      <w:r w:rsidRPr="00683A40">
        <w:rPr>
          <w:rFonts w:ascii="Times New Roman" w:hAnsi="Times New Roman"/>
          <w:b/>
          <w:lang w:val="cs-CZ"/>
        </w:rPr>
        <w:tab/>
        <w:t>JMÉNO A ADRESA DRŽITELE ROZHODNUTÍ O REGISTRACI A DRŽITELE POVOLENÍ K VÝROBĚ ODPOVĚDNÉHO ZA UVOLNĚNÍ ŠARŽE, POKUD SE NESHODUJE</w:t>
      </w:r>
    </w:p>
    <w:p w14:paraId="75951E64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74BBCB26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  <w:r w:rsidRPr="00683A40">
        <w:rPr>
          <w:rFonts w:ascii="Times New Roman" w:hAnsi="Times New Roman"/>
          <w:iCs/>
          <w:u w:val="single"/>
          <w:lang w:val="cs-CZ"/>
        </w:rPr>
        <w:t>Držitel rozhodnutí o registraci a výrobce</w:t>
      </w:r>
      <w:r w:rsidRPr="00683A40">
        <w:rPr>
          <w:rFonts w:ascii="Times New Roman" w:hAnsi="Times New Roman"/>
          <w:iCs/>
          <w:lang w:val="cs-CZ"/>
        </w:rPr>
        <w:t>:</w:t>
      </w:r>
    </w:p>
    <w:p w14:paraId="636D7580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caps/>
          <w:lang w:val="cs-CZ"/>
        </w:rPr>
      </w:pPr>
    </w:p>
    <w:p w14:paraId="7941A3B6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caps/>
          <w:lang w:val="cs-CZ"/>
        </w:rPr>
      </w:pPr>
      <w:r w:rsidRPr="00683A40">
        <w:rPr>
          <w:rFonts w:ascii="Times New Roman" w:hAnsi="Times New Roman"/>
          <w:caps/>
          <w:lang w:val="cs-CZ"/>
        </w:rPr>
        <w:t>VIRBAC</w:t>
      </w:r>
    </w:p>
    <w:p w14:paraId="663272C1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caps/>
          <w:lang w:val="cs-CZ"/>
        </w:rPr>
      </w:pPr>
      <w:r w:rsidRPr="00683A40">
        <w:rPr>
          <w:rFonts w:ascii="Times New Roman" w:hAnsi="Times New Roman"/>
          <w:lang w:val="cs-CZ"/>
        </w:rPr>
        <w:t>1</w:t>
      </w:r>
      <w:r w:rsidRPr="00683A40">
        <w:rPr>
          <w:rFonts w:ascii="Times New Roman" w:hAnsi="Times New Roman"/>
          <w:vertAlign w:val="superscript"/>
          <w:lang w:val="cs-CZ"/>
        </w:rPr>
        <w:t xml:space="preserve">ére </w:t>
      </w:r>
      <w:r w:rsidRPr="00683A40">
        <w:rPr>
          <w:rFonts w:ascii="Times New Roman" w:hAnsi="Times New Roman"/>
          <w:lang w:val="cs-CZ"/>
        </w:rPr>
        <w:t>Avenue - 2065m - LID</w:t>
      </w:r>
    </w:p>
    <w:p w14:paraId="386936D9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  <w:r w:rsidRPr="00683A40">
        <w:rPr>
          <w:rFonts w:ascii="Times New Roman" w:hAnsi="Times New Roman"/>
          <w:lang w:val="cs-CZ"/>
        </w:rPr>
        <w:t xml:space="preserve">06516 Carros </w:t>
      </w:r>
      <w:r w:rsidRPr="00683A40">
        <w:rPr>
          <w:rFonts w:ascii="Times New Roman" w:eastAsia="Times New Roman" w:hAnsi="Times New Roman"/>
          <w:sz w:val="24"/>
          <w:szCs w:val="24"/>
          <w:lang w:val="cs-CZ"/>
        </w:rPr>
        <w:t>(Francie)</w:t>
      </w:r>
    </w:p>
    <w:p w14:paraId="3769E96A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752C6564" w14:textId="77777777" w:rsidR="005B5AB3" w:rsidRPr="00683A40" w:rsidRDefault="005B5AB3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33A9E05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683A40">
        <w:rPr>
          <w:rFonts w:ascii="Times New Roman" w:hAnsi="Times New Roman"/>
          <w:b/>
          <w:lang w:val="cs-CZ"/>
        </w:rPr>
        <w:t>2.</w:t>
      </w:r>
      <w:r w:rsidRPr="00683A40">
        <w:rPr>
          <w:rFonts w:ascii="Times New Roman" w:hAnsi="Times New Roman"/>
          <w:b/>
          <w:lang w:val="cs-CZ"/>
        </w:rPr>
        <w:tab/>
        <w:t>NÁZEV VETERINÁRNÍHO LÉČIVÉHO PŘÍPRAVKU</w:t>
      </w:r>
    </w:p>
    <w:p w14:paraId="3ACD06D9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668C9549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683A40">
        <w:rPr>
          <w:rFonts w:ascii="Times New Roman" w:hAnsi="Times New Roman"/>
          <w:caps/>
          <w:lang w:val="cs-CZ"/>
        </w:rPr>
        <w:t>CANIGEN DHPP</w:t>
      </w:r>
      <w:r w:rsidRPr="00683A40">
        <w:rPr>
          <w:rFonts w:ascii="Times New Roman" w:hAnsi="Times New Roman"/>
          <w:lang w:val="cs-CZ"/>
        </w:rPr>
        <w:t>i</w:t>
      </w:r>
      <w:r w:rsidRPr="00683A40">
        <w:rPr>
          <w:rFonts w:ascii="Times New Roman" w:hAnsi="Times New Roman"/>
          <w:caps/>
          <w:lang w:val="cs-CZ"/>
        </w:rPr>
        <w:t xml:space="preserve"> </w:t>
      </w:r>
    </w:p>
    <w:p w14:paraId="3A480549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Lyofilizát a rozpouštědlo pro injekční suspenzi pro psy.</w:t>
      </w:r>
    </w:p>
    <w:p w14:paraId="77FF8D58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21DE6248" w14:textId="77777777" w:rsidR="005B5AB3" w:rsidRPr="00683A40" w:rsidRDefault="005B5AB3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6B6D1AA0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683A40">
        <w:rPr>
          <w:rFonts w:ascii="Times New Roman" w:hAnsi="Times New Roman"/>
          <w:b/>
          <w:lang w:val="cs-CZ"/>
        </w:rPr>
        <w:t>3.</w:t>
      </w:r>
      <w:r w:rsidRPr="00683A40">
        <w:rPr>
          <w:rFonts w:ascii="Times New Roman" w:hAnsi="Times New Roman"/>
          <w:b/>
          <w:lang w:val="cs-CZ"/>
        </w:rPr>
        <w:tab/>
        <w:t>OBSAH LÉČIVÝCH A OSTATNÍCH LÁTEK</w:t>
      </w:r>
    </w:p>
    <w:p w14:paraId="53A36E59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3FCD40D9" w14:textId="79B447F1" w:rsidR="00940CF4" w:rsidRPr="00683A40" w:rsidRDefault="00490253" w:rsidP="00940CF4">
      <w:pPr>
        <w:pStyle w:val="Nadpis2"/>
        <w:widowControl/>
        <w:tabs>
          <w:tab w:val="clear" w:pos="7200"/>
          <w:tab w:val="decimal" w:leader="dot" w:pos="7371"/>
        </w:tabs>
        <w:jc w:val="both"/>
        <w:rPr>
          <w:rFonts w:ascii="Times New Roman" w:hAnsi="Times New Roman"/>
          <w:sz w:val="22"/>
          <w:szCs w:val="22"/>
        </w:rPr>
      </w:pPr>
      <w:r w:rsidRPr="00683A40">
        <w:rPr>
          <w:rFonts w:ascii="Times New Roman" w:hAnsi="Times New Roman"/>
          <w:sz w:val="22"/>
          <w:szCs w:val="22"/>
        </w:rPr>
        <w:t xml:space="preserve">Každá </w:t>
      </w:r>
      <w:r w:rsidR="00940CF4" w:rsidRPr="00683A40">
        <w:rPr>
          <w:rFonts w:ascii="Times New Roman" w:hAnsi="Times New Roman"/>
          <w:sz w:val="22"/>
          <w:szCs w:val="22"/>
        </w:rPr>
        <w:t>1</w:t>
      </w:r>
      <w:r w:rsidRPr="00683A40">
        <w:rPr>
          <w:rFonts w:ascii="Times New Roman" w:hAnsi="Times New Roman"/>
          <w:sz w:val="22"/>
          <w:szCs w:val="22"/>
        </w:rPr>
        <w:t>ml</w:t>
      </w:r>
      <w:r w:rsidR="00940CF4" w:rsidRPr="00683A40">
        <w:rPr>
          <w:rFonts w:ascii="Times New Roman" w:hAnsi="Times New Roman"/>
          <w:sz w:val="22"/>
          <w:szCs w:val="22"/>
        </w:rPr>
        <w:t xml:space="preserve"> dávka obsahuje:</w:t>
      </w:r>
    </w:p>
    <w:p w14:paraId="403D899E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683A40">
        <w:rPr>
          <w:rFonts w:ascii="Times New Roman" w:hAnsi="Times New Roman"/>
          <w:b/>
          <w:lang w:val="cs-CZ"/>
        </w:rPr>
        <w:t>Léčivé látky:</w:t>
      </w:r>
    </w:p>
    <w:p w14:paraId="13D54280" w14:textId="77777777" w:rsidR="00940CF4" w:rsidRPr="00683A40" w:rsidRDefault="00940CF4" w:rsidP="00940CF4">
      <w:pPr>
        <w:tabs>
          <w:tab w:val="decimal" w:leader="dot" w:pos="7200"/>
          <w:tab w:val="left" w:pos="8352"/>
        </w:tabs>
        <w:spacing w:after="0" w:line="240" w:lineRule="auto"/>
        <w:jc w:val="both"/>
        <w:rPr>
          <w:rFonts w:ascii="Times New Roman" w:hAnsi="Times New Roman"/>
          <w:i/>
          <w:caps/>
          <w:u w:val="single"/>
          <w:lang w:val="cs-CZ"/>
        </w:rPr>
      </w:pPr>
      <w:r w:rsidRPr="00683A40">
        <w:rPr>
          <w:rFonts w:ascii="Times New Roman" w:hAnsi="Times New Roman"/>
          <w:i/>
          <w:u w:val="single"/>
          <w:lang w:val="cs-CZ"/>
        </w:rPr>
        <w:t>Lyofilizát:</w:t>
      </w:r>
    </w:p>
    <w:p w14:paraId="7764E2A4" w14:textId="77777777" w:rsidR="00940CF4" w:rsidRPr="00683A40" w:rsidRDefault="00940CF4" w:rsidP="00940CF4">
      <w:pPr>
        <w:tabs>
          <w:tab w:val="decimal" w:leader="dot" w:pos="7200"/>
          <w:tab w:val="left" w:pos="7655"/>
        </w:tabs>
        <w:spacing w:after="0" w:line="240" w:lineRule="auto"/>
        <w:rPr>
          <w:rFonts w:ascii="Times New Roman" w:hAnsi="Times New Roman"/>
          <w:caps/>
          <w:vertAlign w:val="superscript"/>
          <w:lang w:val="cs-CZ"/>
        </w:rPr>
      </w:pPr>
      <w:r w:rsidRPr="00683A40">
        <w:rPr>
          <w:rFonts w:ascii="Times New Roman" w:hAnsi="Times New Roman"/>
          <w:lang w:val="cs-CZ"/>
        </w:rPr>
        <w:t>Virus febris contagiosae canis attenuatum (CDV) kmen Lederle</w:t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Pr="00683A40">
        <w:rPr>
          <w:rFonts w:ascii="Times New Roman" w:hAnsi="Times New Roman"/>
          <w:lang w:val="cs-CZ"/>
        </w:rPr>
        <w:t>10</w:t>
      </w:r>
      <w:r w:rsidRPr="00683A40">
        <w:rPr>
          <w:rFonts w:ascii="Times New Roman" w:hAnsi="Times New Roman"/>
          <w:caps/>
          <w:vertAlign w:val="superscript"/>
          <w:lang w:val="cs-CZ"/>
        </w:rPr>
        <w:t>3,0</w:t>
      </w:r>
      <w:r w:rsidRPr="00683A40">
        <w:rPr>
          <w:rFonts w:ascii="Times New Roman" w:hAnsi="Times New Roman"/>
          <w:caps/>
          <w:lang w:val="cs-CZ"/>
        </w:rPr>
        <w:t>-10</w:t>
      </w:r>
      <w:r w:rsidRPr="00683A40">
        <w:rPr>
          <w:rFonts w:ascii="Times New Roman" w:hAnsi="Times New Roman"/>
          <w:caps/>
          <w:vertAlign w:val="superscript"/>
          <w:lang w:val="cs-CZ"/>
        </w:rPr>
        <w:t xml:space="preserve">4,9  </w:t>
      </w:r>
      <w:r w:rsidRPr="00683A40">
        <w:rPr>
          <w:rFonts w:ascii="Times New Roman" w:hAnsi="Times New Roman"/>
          <w:lang w:val="cs-CZ"/>
        </w:rPr>
        <w:t>TCID</w:t>
      </w:r>
      <w:r w:rsidRPr="00683A40">
        <w:rPr>
          <w:rFonts w:ascii="Times New Roman" w:hAnsi="Times New Roman"/>
          <w:caps/>
          <w:vertAlign w:val="subscript"/>
          <w:lang w:val="cs-CZ"/>
        </w:rPr>
        <w:t>50</w:t>
      </w:r>
      <w:r w:rsidRPr="00683A40">
        <w:rPr>
          <w:rFonts w:ascii="Times New Roman" w:hAnsi="Times New Roman"/>
          <w:caps/>
          <w:vertAlign w:val="superscript"/>
          <w:lang w:val="cs-CZ"/>
        </w:rPr>
        <w:t>*</w:t>
      </w:r>
    </w:p>
    <w:p w14:paraId="7457ABFB" w14:textId="77777777" w:rsidR="00940CF4" w:rsidRPr="00683A40" w:rsidRDefault="00940CF4" w:rsidP="00940CF4">
      <w:pPr>
        <w:tabs>
          <w:tab w:val="decimal" w:leader="dot" w:pos="7200"/>
          <w:tab w:val="left" w:pos="7655"/>
        </w:tabs>
        <w:spacing w:after="0" w:line="240" w:lineRule="auto"/>
        <w:rPr>
          <w:rFonts w:ascii="Times New Roman" w:hAnsi="Times New Roman"/>
          <w:caps/>
          <w:vertAlign w:val="superscript"/>
          <w:lang w:val="cs-CZ"/>
        </w:rPr>
      </w:pPr>
      <w:r w:rsidRPr="00683A40">
        <w:rPr>
          <w:rFonts w:ascii="Times New Roman" w:hAnsi="Times New Roman"/>
          <w:lang w:val="cs-CZ"/>
        </w:rPr>
        <w:t>Virus laryngotracheitidis contagiosae canis atten. (CAV-2) kmen Manhattan</w:t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Pr="00683A40">
        <w:rPr>
          <w:rFonts w:ascii="Times New Roman" w:hAnsi="Times New Roman"/>
          <w:lang w:val="cs-CZ"/>
        </w:rPr>
        <w:t>10</w:t>
      </w:r>
      <w:r w:rsidRPr="00683A40">
        <w:rPr>
          <w:rFonts w:ascii="Times New Roman" w:hAnsi="Times New Roman"/>
          <w:caps/>
          <w:vertAlign w:val="superscript"/>
          <w:lang w:val="cs-CZ"/>
        </w:rPr>
        <w:t>4,0</w:t>
      </w:r>
      <w:r w:rsidRPr="00683A40">
        <w:rPr>
          <w:rFonts w:ascii="Times New Roman" w:hAnsi="Times New Roman"/>
          <w:caps/>
          <w:lang w:val="cs-CZ"/>
        </w:rPr>
        <w:t>-10</w:t>
      </w:r>
      <w:r w:rsidRPr="00683A40">
        <w:rPr>
          <w:rFonts w:ascii="Times New Roman" w:hAnsi="Times New Roman"/>
          <w:caps/>
          <w:vertAlign w:val="superscript"/>
          <w:lang w:val="cs-CZ"/>
        </w:rPr>
        <w:t xml:space="preserve">6,0  </w:t>
      </w:r>
      <w:r w:rsidRPr="00683A40">
        <w:rPr>
          <w:rFonts w:ascii="Times New Roman" w:hAnsi="Times New Roman"/>
          <w:lang w:val="cs-CZ"/>
        </w:rPr>
        <w:t xml:space="preserve"> TCID</w:t>
      </w:r>
      <w:r w:rsidRPr="00683A40">
        <w:rPr>
          <w:rFonts w:ascii="Times New Roman" w:hAnsi="Times New Roman"/>
          <w:caps/>
          <w:vertAlign w:val="subscript"/>
          <w:lang w:val="cs-CZ"/>
        </w:rPr>
        <w:t>50</w:t>
      </w:r>
      <w:r w:rsidRPr="00683A40">
        <w:rPr>
          <w:rFonts w:ascii="Times New Roman" w:hAnsi="Times New Roman"/>
          <w:caps/>
          <w:vertAlign w:val="superscript"/>
          <w:lang w:val="cs-CZ"/>
        </w:rPr>
        <w:t>*</w:t>
      </w:r>
    </w:p>
    <w:p w14:paraId="626DA681" w14:textId="77777777" w:rsidR="00940CF4" w:rsidRPr="00683A40" w:rsidRDefault="00940CF4" w:rsidP="00940CF4">
      <w:pPr>
        <w:tabs>
          <w:tab w:val="decimal" w:leader="dot" w:pos="7200"/>
          <w:tab w:val="left" w:pos="7655"/>
        </w:tabs>
        <w:spacing w:after="0" w:line="240" w:lineRule="auto"/>
        <w:rPr>
          <w:rFonts w:ascii="Times New Roman" w:hAnsi="Times New Roman"/>
          <w:caps/>
          <w:vertAlign w:val="superscript"/>
          <w:lang w:val="cs-CZ"/>
        </w:rPr>
      </w:pPr>
      <w:r w:rsidRPr="00683A40">
        <w:rPr>
          <w:rFonts w:ascii="Times New Roman" w:hAnsi="Times New Roman"/>
          <w:lang w:val="cs-CZ"/>
        </w:rPr>
        <w:t>Parvovirus enteritidis canis attenuatum (CPV) kmen CPV780916</w:t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Pr="00683A40">
        <w:rPr>
          <w:rFonts w:ascii="Times New Roman" w:hAnsi="Times New Roman"/>
          <w:lang w:val="cs-CZ"/>
        </w:rPr>
        <w:t>10</w:t>
      </w:r>
      <w:r w:rsidRPr="00683A40">
        <w:rPr>
          <w:rFonts w:ascii="Times New Roman" w:hAnsi="Times New Roman"/>
          <w:caps/>
          <w:vertAlign w:val="superscript"/>
          <w:lang w:val="cs-CZ"/>
        </w:rPr>
        <w:t>5,0</w:t>
      </w:r>
      <w:r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Fonts w:ascii="Times New Roman" w:hAnsi="Times New Roman"/>
          <w:caps/>
          <w:lang w:val="cs-CZ"/>
        </w:rPr>
        <w:t>-10</w:t>
      </w:r>
      <w:r w:rsidRPr="00683A40">
        <w:rPr>
          <w:rFonts w:ascii="Times New Roman" w:hAnsi="Times New Roman"/>
          <w:caps/>
          <w:vertAlign w:val="superscript"/>
          <w:lang w:val="cs-CZ"/>
        </w:rPr>
        <w:t xml:space="preserve">6,8  </w:t>
      </w:r>
      <w:r w:rsidRPr="00683A40">
        <w:rPr>
          <w:rFonts w:ascii="Times New Roman" w:hAnsi="Times New Roman"/>
          <w:lang w:val="cs-CZ"/>
        </w:rPr>
        <w:t>TCID</w:t>
      </w:r>
      <w:r w:rsidRPr="00683A40">
        <w:rPr>
          <w:rFonts w:ascii="Times New Roman" w:hAnsi="Times New Roman"/>
          <w:caps/>
          <w:vertAlign w:val="subscript"/>
          <w:lang w:val="cs-CZ"/>
        </w:rPr>
        <w:t>50</w:t>
      </w:r>
      <w:r w:rsidRPr="00683A40">
        <w:rPr>
          <w:rFonts w:ascii="Times New Roman" w:hAnsi="Times New Roman"/>
          <w:caps/>
          <w:vertAlign w:val="superscript"/>
          <w:lang w:val="cs-CZ"/>
        </w:rPr>
        <w:t>*</w:t>
      </w:r>
    </w:p>
    <w:p w14:paraId="2399997A" w14:textId="77777777" w:rsidR="00940CF4" w:rsidRPr="00683A40" w:rsidRDefault="00940CF4" w:rsidP="00A64E39">
      <w:pPr>
        <w:tabs>
          <w:tab w:val="decimal" w:leader="dot" w:pos="7200"/>
          <w:tab w:val="left" w:pos="7655"/>
        </w:tabs>
        <w:spacing w:after="0" w:line="240" w:lineRule="auto"/>
        <w:ind w:right="425"/>
        <w:jc w:val="both"/>
        <w:rPr>
          <w:rFonts w:ascii="Times New Roman" w:hAnsi="Times New Roman"/>
          <w:caps/>
          <w:vertAlign w:val="subscript"/>
          <w:lang w:val="cs-CZ"/>
        </w:rPr>
      </w:pPr>
      <w:r w:rsidRPr="00683A40">
        <w:rPr>
          <w:rFonts w:ascii="Times New Roman" w:hAnsi="Times New Roman"/>
          <w:lang w:val="cs-CZ"/>
        </w:rPr>
        <w:t>Virus parainfluensis canis attenuatum  (CPiV) kmen Manhattan</w:t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Pr="00683A40">
        <w:rPr>
          <w:rFonts w:ascii="Times New Roman" w:hAnsi="Times New Roman"/>
          <w:caps/>
          <w:lang w:val="cs-CZ"/>
        </w:rPr>
        <w:t>10</w:t>
      </w:r>
      <w:r w:rsidRPr="00683A40">
        <w:rPr>
          <w:rFonts w:ascii="Times New Roman" w:hAnsi="Times New Roman"/>
          <w:caps/>
          <w:vertAlign w:val="superscript"/>
          <w:lang w:val="cs-CZ"/>
        </w:rPr>
        <w:t xml:space="preserve">5,0 </w:t>
      </w:r>
      <w:r w:rsidRPr="00683A40">
        <w:rPr>
          <w:rFonts w:ascii="Times New Roman" w:hAnsi="Times New Roman"/>
          <w:caps/>
          <w:lang w:val="cs-CZ"/>
        </w:rPr>
        <w:t>-10</w:t>
      </w:r>
      <w:r w:rsidRPr="00683A40">
        <w:rPr>
          <w:rFonts w:ascii="Times New Roman" w:hAnsi="Times New Roman"/>
          <w:caps/>
          <w:vertAlign w:val="superscript"/>
          <w:lang w:val="cs-CZ"/>
        </w:rPr>
        <w:t xml:space="preserve">6,9 </w:t>
      </w:r>
      <w:r w:rsidRPr="00683A40">
        <w:rPr>
          <w:rFonts w:ascii="Times New Roman" w:hAnsi="Times New Roman"/>
          <w:caps/>
          <w:lang w:val="cs-CZ"/>
        </w:rPr>
        <w:t xml:space="preserve">  </w:t>
      </w:r>
      <w:r w:rsidRPr="00683A40">
        <w:rPr>
          <w:rFonts w:ascii="Times New Roman" w:hAnsi="Times New Roman"/>
          <w:lang w:val="cs-CZ"/>
        </w:rPr>
        <w:t>TCID</w:t>
      </w:r>
      <w:r w:rsidRPr="00683A40">
        <w:rPr>
          <w:rFonts w:ascii="Times New Roman" w:hAnsi="Times New Roman"/>
          <w:caps/>
          <w:vertAlign w:val="subscript"/>
          <w:lang w:val="cs-CZ"/>
        </w:rPr>
        <w:t>50</w:t>
      </w:r>
      <w:r w:rsidRPr="00683A40">
        <w:rPr>
          <w:rFonts w:ascii="Times New Roman" w:hAnsi="Times New Roman"/>
          <w:caps/>
          <w:vertAlign w:val="superscript"/>
          <w:lang w:val="cs-CZ"/>
        </w:rPr>
        <w:t>*</w:t>
      </w:r>
      <w:r w:rsidRPr="00683A40">
        <w:rPr>
          <w:rFonts w:ascii="Times New Roman" w:hAnsi="Times New Roman"/>
          <w:caps/>
          <w:vertAlign w:val="subscript"/>
          <w:lang w:val="cs-CZ"/>
        </w:rPr>
        <w:t>˛</w:t>
      </w:r>
    </w:p>
    <w:p w14:paraId="56A1A566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* 50% infekční dávka pro tkáňové kultury</w:t>
      </w:r>
    </w:p>
    <w:p w14:paraId="12533038" w14:textId="77777777" w:rsidR="00940CF4" w:rsidRPr="00683A40" w:rsidRDefault="00940CF4" w:rsidP="00940CF4">
      <w:pPr>
        <w:tabs>
          <w:tab w:val="decimal" w:leader="dot" w:pos="7200"/>
          <w:tab w:val="left" w:pos="7655"/>
        </w:tabs>
        <w:spacing w:after="0" w:line="240" w:lineRule="auto"/>
        <w:jc w:val="both"/>
        <w:rPr>
          <w:rFonts w:ascii="Times New Roman" w:hAnsi="Times New Roman"/>
          <w:caps/>
          <w:lang w:val="cs-CZ"/>
        </w:rPr>
      </w:pPr>
    </w:p>
    <w:p w14:paraId="1C6D98FB" w14:textId="77777777" w:rsidR="00940CF4" w:rsidRPr="00683A40" w:rsidRDefault="00940CF4" w:rsidP="00940C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683A40">
        <w:rPr>
          <w:rFonts w:ascii="Times New Roman" w:hAnsi="Times New Roman"/>
          <w:b w:val="0"/>
          <w:i/>
          <w:sz w:val="22"/>
          <w:szCs w:val="22"/>
          <w:u w:val="single"/>
        </w:rPr>
        <w:t>Rozpouštědlo:</w:t>
      </w:r>
    </w:p>
    <w:p w14:paraId="33929759" w14:textId="56CF92FB" w:rsidR="00940CF4" w:rsidRPr="00683A40" w:rsidRDefault="003963B9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Voda pro</w:t>
      </w:r>
      <w:r w:rsidR="00940CF4" w:rsidRPr="00683A40">
        <w:rPr>
          <w:rFonts w:ascii="Times New Roman" w:hAnsi="Times New Roman"/>
          <w:lang w:val="cs-CZ"/>
        </w:rPr>
        <w:t xml:space="preserve"> injekci</w:t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="00D315C1" w:rsidRPr="00683A40">
        <w:rPr>
          <w:rFonts w:ascii="Times New Roman" w:hAnsi="Times New Roman"/>
          <w:lang w:val="cs-CZ"/>
        </w:rPr>
        <w:tab/>
      </w:r>
      <w:r w:rsidR="00940CF4" w:rsidRPr="00683A40">
        <w:rPr>
          <w:rFonts w:ascii="Times New Roman" w:hAnsi="Times New Roman"/>
          <w:lang w:val="cs-CZ"/>
        </w:rPr>
        <w:t>1 ml</w:t>
      </w:r>
    </w:p>
    <w:p w14:paraId="19C4F3B9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3C6B123" w14:textId="3C613C0A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Lyofilizát: Bíl</w:t>
      </w:r>
      <w:r w:rsidR="00D636EB" w:rsidRPr="00683A40">
        <w:rPr>
          <w:rFonts w:ascii="Times New Roman" w:hAnsi="Times New Roman"/>
          <w:lang w:val="cs-CZ"/>
        </w:rPr>
        <w:t>ý lyofilizát.</w:t>
      </w:r>
    </w:p>
    <w:p w14:paraId="688656A4" w14:textId="63244C1B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Rozpouštědlo: Bezbarvá tekutina</w:t>
      </w:r>
      <w:r w:rsidR="00D636EB" w:rsidRPr="00683A40">
        <w:rPr>
          <w:rFonts w:ascii="Times New Roman" w:hAnsi="Times New Roman"/>
          <w:lang w:val="cs-CZ"/>
        </w:rPr>
        <w:t>.</w:t>
      </w:r>
    </w:p>
    <w:p w14:paraId="04B6C3FF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highlight w:val="yellow"/>
          <w:lang w:val="cs-CZ"/>
        </w:rPr>
      </w:pPr>
    </w:p>
    <w:p w14:paraId="7289CF1F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BDBCF06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683A40">
        <w:rPr>
          <w:rFonts w:ascii="Times New Roman" w:hAnsi="Times New Roman"/>
          <w:b/>
          <w:lang w:val="cs-CZ"/>
        </w:rPr>
        <w:t>4.</w:t>
      </w:r>
      <w:r w:rsidRPr="00683A40">
        <w:rPr>
          <w:rFonts w:ascii="Times New Roman" w:hAnsi="Times New Roman"/>
          <w:b/>
          <w:lang w:val="cs-CZ"/>
        </w:rPr>
        <w:tab/>
        <w:t>INDIKACE</w:t>
      </w:r>
    </w:p>
    <w:p w14:paraId="2AA1EF46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21651EF5" w14:textId="77777777" w:rsidR="005B5AB3" w:rsidRPr="00683A40" w:rsidRDefault="00940CF4" w:rsidP="00940CF4">
      <w:pPr>
        <w:spacing w:after="0" w:line="240" w:lineRule="auto"/>
        <w:rPr>
          <w:rFonts w:ascii="Times New Roman" w:hAnsi="Times New Roman"/>
          <w:color w:val="222222"/>
          <w:lang w:val="cs-CZ"/>
        </w:rPr>
      </w:pPr>
      <w:r w:rsidRPr="00683A40">
        <w:rPr>
          <w:rStyle w:val="hps"/>
          <w:rFonts w:ascii="Times New Roman" w:hAnsi="Times New Roman"/>
          <w:color w:val="222222"/>
          <w:lang w:val="cs-CZ"/>
        </w:rPr>
        <w:t>K aktivní imunizaci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psů od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8 týdnů věku:</w:t>
      </w:r>
    </w:p>
    <w:p w14:paraId="3F615E44" w14:textId="77777777" w:rsidR="005B5AB3" w:rsidRPr="00683A40" w:rsidRDefault="00940CF4" w:rsidP="005B5AB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color w:val="222222"/>
          <w:lang w:val="cs-CZ"/>
        </w:rPr>
        <w:t xml:space="preserve">k prevenci </w:t>
      </w:r>
      <w:r w:rsidRPr="00683A40">
        <w:rPr>
          <w:rStyle w:val="hps"/>
          <w:rFonts w:ascii="Times New Roman" w:hAnsi="Times New Roman"/>
          <w:color w:val="222222"/>
          <w:lang w:val="cs-CZ"/>
        </w:rPr>
        <w:t>mortality a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klinických příznaků způsobených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virem psinky</w:t>
      </w:r>
      <w:r w:rsidRPr="00683A40">
        <w:rPr>
          <w:rFonts w:ascii="Times New Roman" w:hAnsi="Times New Roman"/>
          <w:color w:val="222222"/>
          <w:lang w:val="cs-CZ"/>
        </w:rPr>
        <w:t>;</w:t>
      </w:r>
    </w:p>
    <w:p w14:paraId="156A3890" w14:textId="77777777" w:rsidR="005B5AB3" w:rsidRPr="00683A40" w:rsidRDefault="00940CF4" w:rsidP="005B5AB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color w:val="222222"/>
          <w:lang w:val="cs-CZ"/>
        </w:rPr>
        <w:t>k prevenci mortality</w:t>
      </w:r>
      <w:r w:rsidRPr="00683A40">
        <w:rPr>
          <w:rStyle w:val="hps"/>
          <w:rFonts w:ascii="Times New Roman" w:hAnsi="Times New Roman"/>
          <w:color w:val="222222"/>
          <w:lang w:val="cs-CZ"/>
        </w:rPr>
        <w:t xml:space="preserve"> a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klinických příznaků způsobených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psím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adenovirem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typu 1</w:t>
      </w:r>
      <w:r w:rsidRPr="00683A40">
        <w:rPr>
          <w:rFonts w:ascii="Times New Roman" w:hAnsi="Times New Roman"/>
          <w:color w:val="222222"/>
          <w:lang w:val="cs-CZ"/>
        </w:rPr>
        <w:t>;</w:t>
      </w:r>
    </w:p>
    <w:p w14:paraId="2708A855" w14:textId="02D72EFC" w:rsidR="005B5AB3" w:rsidRPr="00683A40" w:rsidRDefault="00940CF4" w:rsidP="00940CF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222222"/>
          <w:lang w:val="cs-CZ"/>
        </w:rPr>
      </w:pPr>
      <w:r w:rsidRPr="00683A40">
        <w:rPr>
          <w:rFonts w:ascii="Times New Roman" w:hAnsi="Times New Roman"/>
          <w:color w:val="222222"/>
          <w:lang w:val="cs-CZ"/>
        </w:rPr>
        <w:t xml:space="preserve">k prevenci </w:t>
      </w:r>
      <w:r w:rsidRPr="00683A40">
        <w:rPr>
          <w:rStyle w:val="hps"/>
          <w:rFonts w:ascii="Times New Roman" w:hAnsi="Times New Roman"/>
          <w:lang w:val="cs-CZ"/>
        </w:rPr>
        <w:t>klinických příznaků a</w:t>
      </w:r>
      <w:r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lang w:val="cs-CZ"/>
        </w:rPr>
        <w:t>mortality</w:t>
      </w:r>
      <w:r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lang w:val="cs-CZ"/>
        </w:rPr>
        <w:t>a snížení</w:t>
      </w:r>
      <w:r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lang w:val="cs-CZ"/>
        </w:rPr>
        <w:t>vylučování psího parvoviru</w:t>
      </w:r>
      <w:r w:rsidRPr="00683A40">
        <w:rPr>
          <w:rFonts w:ascii="Times New Roman" w:hAnsi="Times New Roman"/>
          <w:lang w:val="cs-CZ"/>
        </w:rPr>
        <w:t xml:space="preserve"> dle</w:t>
      </w:r>
      <w:r w:rsidR="00A64E39" w:rsidRPr="00683A40">
        <w:rPr>
          <w:rFonts w:ascii="Times New Roman" w:hAnsi="Times New Roman"/>
          <w:lang w:val="cs-CZ"/>
        </w:rPr>
        <w:t> </w:t>
      </w:r>
      <w:r w:rsidRPr="00683A40">
        <w:rPr>
          <w:rFonts w:ascii="Times New Roman" w:hAnsi="Times New Roman"/>
          <w:lang w:val="cs-CZ"/>
        </w:rPr>
        <w:t xml:space="preserve">čelenžních </w:t>
      </w:r>
      <w:r w:rsidRPr="00683A40">
        <w:rPr>
          <w:rStyle w:val="hps"/>
          <w:rFonts w:ascii="Times New Roman" w:hAnsi="Times New Roman"/>
          <w:lang w:val="cs-CZ"/>
        </w:rPr>
        <w:t>studií</w:t>
      </w:r>
      <w:r w:rsidR="005B5AB3"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lang w:val="cs-CZ"/>
        </w:rPr>
        <w:t>provedených s</w:t>
      </w:r>
      <w:r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lang w:val="cs-CZ"/>
        </w:rPr>
        <w:t>CPV</w:t>
      </w:r>
      <w:r w:rsidRPr="00683A40">
        <w:rPr>
          <w:rFonts w:ascii="Times New Roman" w:hAnsi="Times New Roman"/>
          <w:lang w:val="cs-CZ"/>
        </w:rPr>
        <w:t xml:space="preserve">-2b </w:t>
      </w:r>
      <w:r w:rsidRPr="00683A40">
        <w:rPr>
          <w:rStyle w:val="hps"/>
          <w:rFonts w:ascii="Times New Roman" w:hAnsi="Times New Roman"/>
          <w:lang w:val="cs-CZ"/>
        </w:rPr>
        <w:t>kmenem</w:t>
      </w:r>
      <w:r w:rsidRPr="00683A40">
        <w:rPr>
          <w:rFonts w:ascii="Times New Roman" w:hAnsi="Times New Roman"/>
          <w:lang w:val="cs-CZ"/>
        </w:rPr>
        <w:t>;</w:t>
      </w:r>
    </w:p>
    <w:p w14:paraId="122E8B51" w14:textId="1556AEB9" w:rsidR="005B5AB3" w:rsidRPr="00683A40" w:rsidRDefault="00940CF4" w:rsidP="00940CF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lang w:val="cs-CZ"/>
        </w:rPr>
      </w:pPr>
      <w:r w:rsidRPr="00683A40">
        <w:rPr>
          <w:rFonts w:ascii="Times New Roman" w:hAnsi="Times New Roman"/>
          <w:color w:val="222222"/>
          <w:lang w:val="cs-CZ"/>
        </w:rPr>
        <w:t xml:space="preserve">k </w:t>
      </w:r>
      <w:r w:rsidRPr="00683A40">
        <w:rPr>
          <w:rStyle w:val="hps"/>
          <w:rFonts w:ascii="Times New Roman" w:hAnsi="Times New Roman"/>
          <w:color w:val="222222"/>
          <w:lang w:val="cs-CZ"/>
        </w:rPr>
        <w:t>prevenci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klinických příznaků a snížení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vylučování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psího parvoviru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dle čelenžní studie provedené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s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CPV</w:t>
      </w:r>
      <w:r w:rsidRPr="00683A40">
        <w:rPr>
          <w:rStyle w:val="atn"/>
          <w:rFonts w:ascii="Times New Roman" w:hAnsi="Times New Roman"/>
          <w:color w:val="222222"/>
          <w:lang w:val="cs-CZ"/>
        </w:rPr>
        <w:t>-</w:t>
      </w:r>
      <w:r w:rsidRPr="00683A40">
        <w:rPr>
          <w:rFonts w:ascii="Times New Roman" w:hAnsi="Times New Roman"/>
          <w:color w:val="222222"/>
          <w:lang w:val="cs-CZ"/>
        </w:rPr>
        <w:t xml:space="preserve">2c </w:t>
      </w:r>
      <w:r w:rsidRPr="00683A40">
        <w:rPr>
          <w:rStyle w:val="hps"/>
          <w:rFonts w:ascii="Times New Roman" w:hAnsi="Times New Roman"/>
          <w:color w:val="222222"/>
          <w:lang w:val="cs-CZ"/>
        </w:rPr>
        <w:t>kmenem</w:t>
      </w:r>
      <w:r w:rsidRPr="00683A40">
        <w:rPr>
          <w:rFonts w:ascii="Times New Roman" w:hAnsi="Times New Roman"/>
          <w:color w:val="222222"/>
          <w:lang w:val="cs-CZ"/>
        </w:rPr>
        <w:t>;</w:t>
      </w:r>
    </w:p>
    <w:p w14:paraId="1EA34C03" w14:textId="77777777" w:rsidR="00940CF4" w:rsidRPr="00683A40" w:rsidRDefault="00940CF4" w:rsidP="001964F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lang w:val="cs-CZ"/>
        </w:rPr>
      </w:pPr>
      <w:r w:rsidRPr="00683A40">
        <w:rPr>
          <w:rFonts w:ascii="Times New Roman" w:hAnsi="Times New Roman"/>
          <w:color w:val="222222"/>
          <w:lang w:val="cs-CZ"/>
        </w:rPr>
        <w:t xml:space="preserve">ke </w:t>
      </w:r>
      <w:r w:rsidRPr="00683A40">
        <w:rPr>
          <w:rStyle w:val="hps"/>
          <w:rFonts w:ascii="Times New Roman" w:hAnsi="Times New Roman"/>
          <w:color w:val="222222"/>
          <w:lang w:val="cs-CZ"/>
        </w:rPr>
        <w:t>snížení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respiračních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klinických příznaků a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vylučování viru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parainfluenzy psů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a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psího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adenoviru typu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2;</w:t>
      </w:r>
    </w:p>
    <w:p w14:paraId="79A7E1A8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888F0AE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u w:val="single"/>
          <w:lang w:val="cs-CZ"/>
        </w:rPr>
      </w:pPr>
      <w:r w:rsidRPr="00683A40">
        <w:rPr>
          <w:rFonts w:ascii="Times New Roman" w:hAnsi="Times New Roman"/>
          <w:u w:val="single"/>
          <w:lang w:val="cs-CZ"/>
        </w:rPr>
        <w:t>Nástup imunity:</w:t>
      </w:r>
    </w:p>
    <w:p w14:paraId="7886066B" w14:textId="77777777" w:rsidR="00C151B2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Nástup imunity byl prokázán</w:t>
      </w:r>
      <w:r w:rsidR="00C151B2" w:rsidRPr="00683A40">
        <w:rPr>
          <w:rFonts w:ascii="Times New Roman" w:hAnsi="Times New Roman"/>
          <w:lang w:val="cs-CZ"/>
        </w:rPr>
        <w:t>:</w:t>
      </w:r>
    </w:p>
    <w:p w14:paraId="48B13473" w14:textId="11589578" w:rsidR="00C151B2" w:rsidRPr="00683A40" w:rsidRDefault="00940CF4" w:rsidP="001964F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3 týdny po primovakcinaci u psinky, parvovirózy a infekční laryngotracheitidy (CDV, CPV a</w:t>
      </w:r>
      <w:r w:rsidR="00A64E39" w:rsidRPr="00683A40">
        <w:rPr>
          <w:rFonts w:ascii="Times New Roman" w:hAnsi="Times New Roman"/>
          <w:lang w:val="cs-CZ"/>
        </w:rPr>
        <w:t> </w:t>
      </w:r>
      <w:r w:rsidRPr="00683A40">
        <w:rPr>
          <w:rFonts w:ascii="Times New Roman" w:hAnsi="Times New Roman"/>
          <w:lang w:val="cs-CZ"/>
        </w:rPr>
        <w:t>CAV–2),</w:t>
      </w:r>
    </w:p>
    <w:p w14:paraId="51360A1A" w14:textId="77777777" w:rsidR="00940CF4" w:rsidRPr="00683A40" w:rsidRDefault="00940CF4" w:rsidP="001964F7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4 týdn</w:t>
      </w:r>
      <w:r w:rsidR="000165D0" w:rsidRPr="00683A40">
        <w:rPr>
          <w:rFonts w:ascii="Times New Roman" w:hAnsi="Times New Roman"/>
          <w:lang w:val="cs-CZ"/>
        </w:rPr>
        <w:t>y po primovakcinaci</w:t>
      </w:r>
      <w:r w:rsidRPr="00683A40">
        <w:rPr>
          <w:rFonts w:ascii="Times New Roman" w:hAnsi="Times New Roman"/>
          <w:lang w:val="cs-CZ"/>
        </w:rPr>
        <w:t xml:space="preserve"> u infekční hepatitidy a parainfluenzy 2 (CAV-1 a CPiV).</w:t>
      </w:r>
    </w:p>
    <w:p w14:paraId="212E579F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</w:p>
    <w:p w14:paraId="09E42FE1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u w:val="single"/>
          <w:lang w:val="cs-CZ"/>
        </w:rPr>
      </w:pPr>
      <w:r w:rsidRPr="00683A40">
        <w:rPr>
          <w:rFonts w:ascii="Times New Roman" w:hAnsi="Times New Roman"/>
          <w:u w:val="single"/>
          <w:lang w:val="cs-CZ"/>
        </w:rPr>
        <w:t>Doba trvání imunity:</w:t>
      </w:r>
    </w:p>
    <w:p w14:paraId="120D784C" w14:textId="77777777" w:rsidR="005B5AB3" w:rsidRPr="00683A40" w:rsidRDefault="005B5AB3" w:rsidP="005B5AB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683A40">
        <w:rPr>
          <w:rFonts w:ascii="Times New Roman" w:eastAsia="Times New Roman" w:hAnsi="Times New Roman" w:cs="Times New Roman"/>
          <w:lang w:val="cs-CZ" w:eastAsia="en-GB"/>
        </w:rPr>
        <w:t>Doba trvání imunity je jeden rok po primovakcinaci u všech složek.</w:t>
      </w:r>
    </w:p>
    <w:p w14:paraId="29CCBFDF" w14:textId="32C893B2" w:rsidR="005B5AB3" w:rsidRPr="00683A40" w:rsidRDefault="005B5AB3" w:rsidP="005B5AB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Ve studiích trvání imunity nebyl zjištěn žádný významný rozdíl mezi skupinou vakcinovaných a</w:t>
      </w:r>
      <w:r w:rsidR="00A64E39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 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kontrolních psů ve vylučování viru pro CPiV a CAV-2.</w:t>
      </w:r>
    </w:p>
    <w:p w14:paraId="2EE993B2" w14:textId="77777777" w:rsidR="005B5AB3" w:rsidRPr="00683A40" w:rsidRDefault="005B5AB3" w:rsidP="005B5AB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51D3EAA8" w14:textId="77777777" w:rsidR="005B5AB3" w:rsidRPr="00683A40" w:rsidRDefault="005B5AB3" w:rsidP="005B5AB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683A40">
        <w:rPr>
          <w:rFonts w:ascii="Times New Roman" w:eastAsia="Times New Roman" w:hAnsi="Times New Roman" w:cs="Times New Roman"/>
          <w:lang w:val="cs-CZ" w:eastAsia="en-GB"/>
        </w:rPr>
        <w:t>Po roční posilovací (booster) dávce byla prokázána doba trvání imunity 3 roky pro CDV, CAV-1, CAV-2</w:t>
      </w:r>
      <w:r w:rsidR="000165D0" w:rsidRPr="00683A40">
        <w:rPr>
          <w:rFonts w:ascii="Times New Roman" w:eastAsia="Times New Roman" w:hAnsi="Times New Roman" w:cs="Times New Roman"/>
          <w:lang w:val="cs-CZ" w:eastAsia="en-GB"/>
        </w:rPr>
        <w:t xml:space="preserve"> a</w:t>
      </w:r>
      <w:r w:rsidRPr="00683A40">
        <w:rPr>
          <w:rFonts w:ascii="Times New Roman" w:eastAsia="Times New Roman" w:hAnsi="Times New Roman" w:cs="Times New Roman"/>
          <w:lang w:val="cs-CZ" w:eastAsia="en-GB"/>
        </w:rPr>
        <w:t xml:space="preserve"> CPV a 1 rok pro CPiV.</w:t>
      </w:r>
    </w:p>
    <w:p w14:paraId="49DE0473" w14:textId="74D89CC3" w:rsidR="005B5AB3" w:rsidRPr="00683A40" w:rsidRDefault="005B5AB3" w:rsidP="005B5AB3">
      <w:p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683A40">
        <w:rPr>
          <w:rFonts w:ascii="Times New Roman" w:eastAsia="Times New Roman" w:hAnsi="Times New Roman" w:cs="Times New Roman"/>
          <w:lang w:val="cs-CZ" w:eastAsia="en-GB"/>
        </w:rPr>
        <w:t>Doba trvání imunity po posilovací booster dávce pro CAV-2 nebyla stanovena čelenžní zkouškou, ale</w:t>
      </w:r>
      <w:r w:rsidR="00A64E39" w:rsidRPr="00683A40">
        <w:rPr>
          <w:rFonts w:ascii="Times New Roman" w:eastAsia="Times New Roman" w:hAnsi="Times New Roman" w:cs="Times New Roman"/>
          <w:lang w:val="cs-CZ" w:eastAsia="en-GB"/>
        </w:rPr>
        <w:t> </w:t>
      </w:r>
      <w:r w:rsidRPr="00683A40">
        <w:rPr>
          <w:rFonts w:ascii="Times New Roman" w:eastAsia="Times New Roman" w:hAnsi="Times New Roman" w:cs="Times New Roman"/>
          <w:lang w:val="cs-CZ" w:eastAsia="en-GB"/>
        </w:rPr>
        <w:t>je založena na přítomnosti CAV-2 protilátek 3 roky po booster vakcinaci.</w:t>
      </w:r>
    </w:p>
    <w:p w14:paraId="655D8C50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50DCBF6A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3FA823FE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683A40">
        <w:rPr>
          <w:rFonts w:ascii="Times New Roman" w:hAnsi="Times New Roman"/>
          <w:b/>
          <w:lang w:val="cs-CZ"/>
        </w:rPr>
        <w:t xml:space="preserve">5. </w:t>
      </w:r>
      <w:r w:rsidRPr="00683A40">
        <w:rPr>
          <w:rFonts w:ascii="Times New Roman" w:hAnsi="Times New Roman"/>
          <w:b/>
          <w:lang w:val="cs-CZ"/>
        </w:rPr>
        <w:tab/>
        <w:t>KONTRAINDIKACE</w:t>
      </w:r>
    </w:p>
    <w:p w14:paraId="3079A2FD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56E83F9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Nejsou.</w:t>
      </w:r>
    </w:p>
    <w:p w14:paraId="3BC9CCE9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7C6DE3C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33488A99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b/>
          <w:lang w:val="cs-CZ"/>
        </w:rPr>
        <w:t>6.</w:t>
      </w:r>
      <w:r w:rsidRPr="00683A40">
        <w:rPr>
          <w:rFonts w:ascii="Times New Roman" w:hAnsi="Times New Roman"/>
          <w:b/>
          <w:lang w:val="cs-CZ"/>
        </w:rPr>
        <w:tab/>
        <w:t>NEŽÁDOUCÍ ÚČINKY</w:t>
      </w:r>
    </w:p>
    <w:p w14:paraId="00F9F184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980A48B" w14:textId="4DF2FF6B" w:rsidR="00D636EB" w:rsidRPr="00683A40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Ve studiích bezpečnosti byl </w:t>
      </w:r>
      <w:r w:rsidR="00134BC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často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pozorován přechodný otok (≤ 4 cm) nebo mírný difúzní lokální edém</w:t>
      </w:r>
      <w:r w:rsidR="00134BC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, ve vzácných případech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spojený s bolestí nebo svěděním. Jakákoliv </w:t>
      </w:r>
      <w:r w:rsidR="00B85748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taková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lokální reakce odezní spontánně během 1 až 2 týdnů.</w:t>
      </w:r>
    </w:p>
    <w:p w14:paraId="27350CD7" w14:textId="77777777" w:rsidR="00D636EB" w:rsidRPr="00683A40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393A4B41" w14:textId="7E3D7C1E" w:rsidR="00D636EB" w:rsidRPr="00683A40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V klinických studiích byly </w:t>
      </w:r>
      <w:r w:rsidR="00134BC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často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pozorovány přechodné post</w:t>
      </w:r>
      <w:r w:rsidR="00B85748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-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vakcinační letargické stavy.</w:t>
      </w:r>
    </w:p>
    <w:p w14:paraId="0C65CA78" w14:textId="14FC44E7" w:rsidR="00D636EB" w:rsidRPr="00683A40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Ze spontánních hlášení byla vzácně pozorována přechodná hypertermie nebo </w:t>
      </w:r>
      <w:r w:rsidR="00B85748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poruchy trávení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, jako je anorexie, průjem nebo zvracení.</w:t>
      </w:r>
    </w:p>
    <w:p w14:paraId="38150681" w14:textId="77777777" w:rsidR="00D636EB" w:rsidRPr="00683A40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0FB317F1" w14:textId="455A643B" w:rsidR="00940CF4" w:rsidRPr="00683A40" w:rsidRDefault="00B85748" w:rsidP="00D636EB">
      <w:p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V</w:t>
      </w:r>
      <w:r w:rsidR="00D636EB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e velmi vzácných případech 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byly spontánně </w:t>
      </w:r>
      <w:r w:rsidR="00D636EB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hlášeny reakce přecitlivělosti (např. anafylaxe, kožní projevy jako edém/otok, erytém, </w:t>
      </w:r>
      <w:r w:rsidR="00A64E39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svědění).</w:t>
      </w:r>
      <w:r w:rsidR="00A64E39" w:rsidRPr="00683A40">
        <w:rPr>
          <w:rFonts w:ascii="Times New Roman" w:hAnsi="Times New Roman"/>
          <w:color w:val="222222"/>
          <w:lang w:val="cs-CZ"/>
        </w:rPr>
        <w:t xml:space="preserve"> V případě</w:t>
      </w:r>
      <w:r w:rsidR="00940CF4" w:rsidRPr="00683A40">
        <w:rPr>
          <w:rStyle w:val="hps"/>
          <w:rFonts w:ascii="Times New Roman" w:hAnsi="Times New Roman"/>
          <w:color w:val="222222"/>
          <w:lang w:val="cs-CZ"/>
        </w:rPr>
        <w:t xml:space="preserve"> takové</w:t>
      </w:r>
      <w:r w:rsidR="00940CF4" w:rsidRPr="00683A40">
        <w:rPr>
          <w:rFonts w:ascii="Times New Roman" w:hAnsi="Times New Roman"/>
          <w:color w:val="222222"/>
          <w:lang w:val="cs-CZ"/>
        </w:rPr>
        <w:t xml:space="preserve"> </w:t>
      </w:r>
      <w:r w:rsidR="00940CF4" w:rsidRPr="00683A40">
        <w:rPr>
          <w:rStyle w:val="hps"/>
          <w:rFonts w:ascii="Times New Roman" w:hAnsi="Times New Roman"/>
          <w:color w:val="222222"/>
          <w:lang w:val="cs-CZ"/>
        </w:rPr>
        <w:t>alergické</w:t>
      </w:r>
      <w:r w:rsidR="00940CF4" w:rsidRPr="00683A40">
        <w:rPr>
          <w:rFonts w:ascii="Times New Roman" w:hAnsi="Times New Roman"/>
          <w:color w:val="222222"/>
          <w:lang w:val="cs-CZ"/>
        </w:rPr>
        <w:t xml:space="preserve"> </w:t>
      </w:r>
      <w:r w:rsidR="00940CF4" w:rsidRPr="00683A40">
        <w:rPr>
          <w:rStyle w:val="hps"/>
          <w:rFonts w:ascii="Times New Roman" w:hAnsi="Times New Roman"/>
          <w:color w:val="222222"/>
          <w:lang w:val="cs-CZ"/>
        </w:rPr>
        <w:t>nebo</w:t>
      </w:r>
      <w:r w:rsidR="00940CF4" w:rsidRPr="00683A40">
        <w:rPr>
          <w:rFonts w:ascii="Times New Roman" w:hAnsi="Times New Roman"/>
          <w:color w:val="222222"/>
          <w:lang w:val="cs-CZ"/>
        </w:rPr>
        <w:t xml:space="preserve"> </w:t>
      </w:r>
      <w:r w:rsidR="00940CF4" w:rsidRPr="00683A40">
        <w:rPr>
          <w:rStyle w:val="hps"/>
          <w:rFonts w:ascii="Times New Roman" w:hAnsi="Times New Roman"/>
          <w:color w:val="222222"/>
          <w:lang w:val="cs-CZ"/>
        </w:rPr>
        <w:t>anafylaktické reakce</w:t>
      </w:r>
      <w:r w:rsidR="00940CF4" w:rsidRPr="00683A40">
        <w:rPr>
          <w:rFonts w:ascii="Times New Roman" w:hAnsi="Times New Roman"/>
          <w:color w:val="222222"/>
          <w:lang w:val="cs-CZ"/>
        </w:rPr>
        <w:t xml:space="preserve"> </w:t>
      </w:r>
      <w:r w:rsidR="00940CF4" w:rsidRPr="00683A40">
        <w:rPr>
          <w:rStyle w:val="hps"/>
          <w:rFonts w:ascii="Times New Roman" w:hAnsi="Times New Roman"/>
          <w:color w:val="222222"/>
          <w:lang w:val="cs-CZ"/>
        </w:rPr>
        <w:t xml:space="preserve">by měla být podána </w:t>
      </w:r>
      <w:r w:rsidRPr="00683A40">
        <w:rPr>
          <w:rStyle w:val="hps"/>
          <w:rFonts w:ascii="Times New Roman" w:hAnsi="Times New Roman"/>
          <w:color w:val="222222"/>
          <w:lang w:val="cs-CZ"/>
        </w:rPr>
        <w:t>odpovídající</w:t>
      </w:r>
      <w:r w:rsidR="00940CF4" w:rsidRPr="00683A40">
        <w:rPr>
          <w:rStyle w:val="hps"/>
          <w:rFonts w:ascii="Times New Roman" w:hAnsi="Times New Roman"/>
          <w:color w:val="222222"/>
          <w:lang w:val="cs-CZ"/>
        </w:rPr>
        <w:t xml:space="preserve"> symptomatická léčba</w:t>
      </w:r>
      <w:r w:rsidR="00940CF4" w:rsidRPr="00683A40">
        <w:rPr>
          <w:rFonts w:ascii="Times New Roman" w:hAnsi="Times New Roman"/>
          <w:color w:val="222222"/>
          <w:lang w:val="cs-CZ"/>
        </w:rPr>
        <w:t>.</w:t>
      </w:r>
    </w:p>
    <w:p w14:paraId="64AA3ADD" w14:textId="77777777" w:rsidR="00940CF4" w:rsidRPr="00683A40" w:rsidRDefault="00940CF4" w:rsidP="00940CF4">
      <w:pPr>
        <w:pStyle w:val="BodyText31"/>
        <w:widowControl/>
        <w:tabs>
          <w:tab w:val="left" w:pos="720"/>
        </w:tabs>
        <w:jc w:val="left"/>
        <w:rPr>
          <w:rStyle w:val="hps"/>
          <w:color w:val="222222"/>
          <w:sz w:val="22"/>
        </w:rPr>
      </w:pPr>
    </w:p>
    <w:p w14:paraId="71A10C1B" w14:textId="77777777" w:rsidR="00BC0BAF" w:rsidRPr="00683A40" w:rsidRDefault="00BC0BAF" w:rsidP="00BC0BA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val="cs-CZ" w:eastAsia="en-US"/>
        </w:rPr>
      </w:pPr>
      <w:r w:rsidRPr="00683A40">
        <w:rPr>
          <w:rFonts w:ascii="Times New Roman" w:eastAsia="Times New Roman" w:hAnsi="Times New Roman" w:cs="Times New Roman"/>
          <w:lang w:val="cs-CZ" w:eastAsia="en-US"/>
        </w:rPr>
        <w:t>Četnost nežádoucích účinků je charakterizována podle následujících pravidel:</w:t>
      </w:r>
    </w:p>
    <w:p w14:paraId="4A5A6BD5" w14:textId="77777777" w:rsidR="00BC0BAF" w:rsidRPr="00683A40" w:rsidRDefault="00BC0BAF" w:rsidP="00BC0BAF">
      <w:pPr>
        <w:suppressAutoHyphens w:val="0"/>
        <w:spacing w:after="0" w:line="240" w:lineRule="auto"/>
        <w:ind w:left="567" w:hanging="567"/>
        <w:rPr>
          <w:rFonts w:ascii="Times New Roman" w:eastAsia="Times New Roman" w:hAnsi="Times New Roman" w:cs="Times New Roman"/>
          <w:lang w:val="cs-CZ" w:eastAsia="en-US"/>
        </w:rPr>
      </w:pPr>
      <w:r w:rsidRPr="00683A40">
        <w:rPr>
          <w:rFonts w:ascii="Times New Roman" w:eastAsia="Times New Roman" w:hAnsi="Times New Roman" w:cs="Times New Roman"/>
          <w:lang w:val="cs-CZ" w:eastAsia="en-US"/>
        </w:rPr>
        <w:t>- velmi časté (nežádoucí účinek(nky) se projevil(y) u více než 1 z 10 ošetřených zvířat)</w:t>
      </w:r>
    </w:p>
    <w:p w14:paraId="09E7A652" w14:textId="77777777" w:rsidR="00BC0BAF" w:rsidRPr="00683A40" w:rsidRDefault="00BC0BAF" w:rsidP="00BC0BAF">
      <w:pPr>
        <w:suppressAutoHyphens w:val="0"/>
        <w:spacing w:after="0" w:line="240" w:lineRule="auto"/>
        <w:ind w:left="567" w:hanging="567"/>
        <w:rPr>
          <w:rFonts w:ascii="Times New Roman" w:eastAsia="Times New Roman" w:hAnsi="Times New Roman" w:cs="Times New Roman"/>
          <w:lang w:val="cs-CZ" w:eastAsia="en-US"/>
        </w:rPr>
      </w:pPr>
      <w:r w:rsidRPr="00683A40">
        <w:rPr>
          <w:rFonts w:ascii="Times New Roman" w:eastAsia="Times New Roman" w:hAnsi="Times New Roman" w:cs="Times New Roman"/>
          <w:lang w:val="cs-CZ" w:eastAsia="en-US"/>
        </w:rPr>
        <w:t>- časté (u více než 1, ale méně než 10 ze 100 ošetřených zvířat)</w:t>
      </w:r>
    </w:p>
    <w:p w14:paraId="16E44666" w14:textId="77777777" w:rsidR="00BC0BAF" w:rsidRPr="00683A40" w:rsidRDefault="00BC0BAF" w:rsidP="00BC0BAF">
      <w:pPr>
        <w:suppressAutoHyphens w:val="0"/>
        <w:spacing w:after="0" w:line="240" w:lineRule="auto"/>
        <w:ind w:left="567" w:hanging="567"/>
        <w:rPr>
          <w:rFonts w:ascii="Times New Roman" w:eastAsia="Times New Roman" w:hAnsi="Times New Roman" w:cs="Times New Roman"/>
          <w:lang w:val="cs-CZ" w:eastAsia="en-US"/>
        </w:rPr>
      </w:pPr>
      <w:r w:rsidRPr="00683A40">
        <w:rPr>
          <w:rFonts w:ascii="Times New Roman" w:eastAsia="Times New Roman" w:hAnsi="Times New Roman" w:cs="Times New Roman"/>
          <w:lang w:val="cs-CZ" w:eastAsia="en-US"/>
        </w:rPr>
        <w:t>- neobvyklé (u více než 1, ale méně než 10 z 1000 ošetřených zvířat)</w:t>
      </w:r>
    </w:p>
    <w:p w14:paraId="4E6D69C8" w14:textId="77777777" w:rsidR="00BC0BAF" w:rsidRPr="00683A40" w:rsidRDefault="00BC0BAF" w:rsidP="00BC0BAF">
      <w:pPr>
        <w:suppressAutoHyphens w:val="0"/>
        <w:spacing w:after="0" w:line="240" w:lineRule="auto"/>
        <w:ind w:left="567" w:hanging="567"/>
        <w:rPr>
          <w:rFonts w:ascii="Times New Roman" w:eastAsia="Times New Roman" w:hAnsi="Times New Roman" w:cs="Times New Roman"/>
          <w:lang w:val="cs-CZ" w:eastAsia="en-US"/>
        </w:rPr>
      </w:pPr>
      <w:r w:rsidRPr="00683A40">
        <w:rPr>
          <w:rFonts w:ascii="Times New Roman" w:eastAsia="Times New Roman" w:hAnsi="Times New Roman" w:cs="Times New Roman"/>
          <w:lang w:val="cs-CZ" w:eastAsia="en-US"/>
        </w:rPr>
        <w:t>- vzácné (u více než 1, ale méně než 10 z  10000 ošetřených zvířat)</w:t>
      </w:r>
    </w:p>
    <w:p w14:paraId="567FF65F" w14:textId="77777777" w:rsidR="00BC0BAF" w:rsidRPr="00683A40" w:rsidRDefault="00BC0BAF" w:rsidP="00BC0BAF">
      <w:pPr>
        <w:suppressAutoHyphens w:val="0"/>
        <w:spacing w:after="0" w:line="240" w:lineRule="auto"/>
        <w:ind w:left="567" w:hanging="567"/>
        <w:rPr>
          <w:rFonts w:ascii="Times New Roman" w:eastAsia="Times New Roman" w:hAnsi="Times New Roman" w:cs="Times New Roman"/>
          <w:lang w:val="cs-CZ" w:eastAsia="en-US"/>
        </w:rPr>
      </w:pPr>
      <w:r w:rsidRPr="00683A40">
        <w:rPr>
          <w:rFonts w:ascii="Times New Roman" w:eastAsia="Times New Roman" w:hAnsi="Times New Roman" w:cs="Times New Roman"/>
          <w:lang w:val="cs-CZ" w:eastAsia="en-US"/>
        </w:rPr>
        <w:t>- velmi vzácné (u méně než 1 z 10000 ošetřených zvířat, včetně ojedinělých hlášení).</w:t>
      </w:r>
    </w:p>
    <w:p w14:paraId="061B76C1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</w:p>
    <w:p w14:paraId="403C960A" w14:textId="7133F96C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 xml:space="preserve">Jestliže zaznamenáte </w:t>
      </w:r>
      <w:r w:rsidR="000C5DB4" w:rsidRPr="00683A40">
        <w:rPr>
          <w:rFonts w:ascii="Times New Roman" w:hAnsi="Times New Roman"/>
          <w:lang w:val="cs-CZ"/>
        </w:rPr>
        <w:t>kterýkoliv z</w:t>
      </w:r>
      <w:r w:rsidRPr="00683A40">
        <w:rPr>
          <w:rFonts w:ascii="Times New Roman" w:hAnsi="Times New Roman"/>
          <w:lang w:val="cs-CZ"/>
        </w:rPr>
        <w:t xml:space="preserve"> nežádoucí</w:t>
      </w:r>
      <w:r w:rsidR="000C5DB4" w:rsidRPr="00683A40">
        <w:rPr>
          <w:rFonts w:ascii="Times New Roman" w:hAnsi="Times New Roman"/>
          <w:lang w:val="cs-CZ"/>
        </w:rPr>
        <w:t>ch</w:t>
      </w:r>
      <w:r w:rsidRPr="00683A40">
        <w:rPr>
          <w:rFonts w:ascii="Times New Roman" w:hAnsi="Times New Roman"/>
          <w:lang w:val="cs-CZ"/>
        </w:rPr>
        <w:t xml:space="preserve"> účink</w:t>
      </w:r>
      <w:r w:rsidR="000C5DB4" w:rsidRPr="00683A40">
        <w:rPr>
          <w:rFonts w:ascii="Times New Roman" w:hAnsi="Times New Roman"/>
          <w:lang w:val="cs-CZ"/>
        </w:rPr>
        <w:t>ů a to i takové</w:t>
      </w:r>
      <w:r w:rsidRPr="00683A40">
        <w:rPr>
          <w:rFonts w:ascii="Times New Roman" w:hAnsi="Times New Roman"/>
          <w:lang w:val="cs-CZ"/>
        </w:rPr>
        <w:t xml:space="preserve">, které nejsou uvedeny v této příbalové informaci, </w:t>
      </w:r>
      <w:r w:rsidR="000C5DB4" w:rsidRPr="00683A40">
        <w:rPr>
          <w:rFonts w:ascii="Times New Roman" w:hAnsi="Times New Roman"/>
          <w:lang w:val="cs-CZ"/>
        </w:rPr>
        <w:t xml:space="preserve">nebo si myslíte, že léčivo nefunguje, </w:t>
      </w:r>
      <w:r w:rsidRPr="00683A40">
        <w:rPr>
          <w:rFonts w:ascii="Times New Roman" w:hAnsi="Times New Roman"/>
          <w:lang w:val="cs-CZ"/>
        </w:rPr>
        <w:t>oznamte to</w:t>
      </w:r>
      <w:r w:rsidR="000C5DB4" w:rsidRPr="00683A40">
        <w:rPr>
          <w:rFonts w:ascii="Times New Roman" w:hAnsi="Times New Roman"/>
          <w:lang w:val="cs-CZ"/>
        </w:rPr>
        <w:t>,</w:t>
      </w:r>
      <w:r w:rsidRPr="00683A40">
        <w:rPr>
          <w:rFonts w:ascii="Times New Roman" w:hAnsi="Times New Roman"/>
          <w:lang w:val="cs-CZ"/>
        </w:rPr>
        <w:t xml:space="preserve"> prosím</w:t>
      </w:r>
      <w:r w:rsidR="000C5DB4" w:rsidRPr="00683A40">
        <w:rPr>
          <w:rFonts w:ascii="Times New Roman" w:hAnsi="Times New Roman"/>
          <w:lang w:val="cs-CZ"/>
        </w:rPr>
        <w:t>,</w:t>
      </w:r>
      <w:r w:rsidRPr="00683A40">
        <w:rPr>
          <w:rFonts w:ascii="Times New Roman" w:hAnsi="Times New Roman"/>
          <w:lang w:val="cs-CZ"/>
        </w:rPr>
        <w:t xml:space="preserve"> vašemu veterinárnímu lékaři.</w:t>
      </w:r>
    </w:p>
    <w:p w14:paraId="6F54D7D8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177D457" w14:textId="77777777" w:rsidR="00D636EB" w:rsidRPr="00683A40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0D19D28B" w14:textId="77777777" w:rsidR="00D636EB" w:rsidRPr="00683A40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 xml:space="preserve">Ústav pro státní kontrolu veterinárních biopreparátů a léčiv </w:t>
      </w:r>
    </w:p>
    <w:p w14:paraId="32AED62B" w14:textId="77777777" w:rsidR="00D636EB" w:rsidRPr="00683A40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Hudcova 56a</w:t>
      </w:r>
    </w:p>
    <w:p w14:paraId="785B07E2" w14:textId="77777777" w:rsidR="00D636EB" w:rsidRPr="00683A40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621 00 Brno</w:t>
      </w:r>
    </w:p>
    <w:p w14:paraId="574A6841" w14:textId="77777777" w:rsidR="00D636EB" w:rsidRPr="00683A40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 xml:space="preserve">Mail: </w:t>
      </w:r>
      <w:hyperlink r:id="rId5" w:history="1">
        <w:r w:rsidRPr="00683A40">
          <w:rPr>
            <w:rStyle w:val="Hypertextovodkaz"/>
            <w:rFonts w:ascii="Times New Roman" w:hAnsi="Times New Roman"/>
            <w:lang w:val="cs-CZ"/>
          </w:rPr>
          <w:t>adr@uskvbl.cz</w:t>
        </w:r>
      </w:hyperlink>
    </w:p>
    <w:p w14:paraId="5C8E68E4" w14:textId="5849C9C8" w:rsidR="00D636EB" w:rsidRPr="00683A40" w:rsidRDefault="00D636EB" w:rsidP="00D636EB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 xml:space="preserve">Webové stránky: </w:t>
      </w:r>
      <w:hyperlink r:id="rId6" w:history="1">
        <w:r w:rsidRPr="00683A40">
          <w:rPr>
            <w:rStyle w:val="Hypertextovodkaz"/>
            <w:rFonts w:ascii="Times New Roman" w:hAnsi="Times New Roman"/>
            <w:lang w:val="cs-CZ"/>
          </w:rPr>
          <w:t>http://www.uskvbl.cz/cs/farmakovigilance</w:t>
        </w:r>
      </w:hyperlink>
    </w:p>
    <w:p w14:paraId="24E96DFC" w14:textId="459EEB6C" w:rsidR="00FD403E" w:rsidRPr="00683A40" w:rsidRDefault="00FD403E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7CBA745C" w14:textId="77777777" w:rsidR="00D636EB" w:rsidRPr="00683A40" w:rsidRDefault="00D636EB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A2D2168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b/>
          <w:lang w:val="cs-CZ"/>
        </w:rPr>
        <w:t>7.</w:t>
      </w:r>
      <w:r w:rsidRPr="00683A40">
        <w:rPr>
          <w:rFonts w:ascii="Times New Roman" w:hAnsi="Times New Roman"/>
          <w:b/>
          <w:lang w:val="cs-CZ"/>
        </w:rPr>
        <w:tab/>
        <w:t>CÍLOVÝ DRUH ZVÍŘAT</w:t>
      </w:r>
    </w:p>
    <w:p w14:paraId="206769DA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A548638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Psi.</w:t>
      </w:r>
    </w:p>
    <w:p w14:paraId="57ADEAC2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613FB34" w14:textId="77777777" w:rsidR="00FD403E" w:rsidRPr="00683A40" w:rsidRDefault="00FD403E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798D4DB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b/>
          <w:lang w:val="cs-CZ"/>
        </w:rPr>
        <w:t>8.</w:t>
      </w:r>
      <w:r w:rsidRPr="00683A40">
        <w:rPr>
          <w:rFonts w:ascii="Times New Roman" w:hAnsi="Times New Roman"/>
          <w:b/>
          <w:lang w:val="cs-CZ"/>
        </w:rPr>
        <w:tab/>
        <w:t>DÁVKOVÁNÍ PRO KAŽDÝ DRUH, CESTA(Y) A ZPŮSOB PODÁNÍ</w:t>
      </w:r>
    </w:p>
    <w:p w14:paraId="0D2A9CAB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6C90E0F" w14:textId="7A754C35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 xml:space="preserve">Po smíchání lyofilizované </w:t>
      </w:r>
      <w:r w:rsidR="000165D0" w:rsidRPr="00683A40">
        <w:rPr>
          <w:rFonts w:ascii="Times New Roman" w:hAnsi="Times New Roman"/>
          <w:lang w:val="cs-CZ"/>
        </w:rPr>
        <w:t xml:space="preserve">složky s </w:t>
      </w:r>
      <w:r w:rsidR="00A64E39" w:rsidRPr="00683A40">
        <w:rPr>
          <w:rFonts w:ascii="Times New Roman" w:hAnsi="Times New Roman"/>
          <w:lang w:val="cs-CZ"/>
        </w:rPr>
        <w:t>rozpouštědlem lehce</w:t>
      </w:r>
      <w:r w:rsidR="000165D0" w:rsidRPr="00683A40">
        <w:rPr>
          <w:rFonts w:ascii="Times New Roman" w:hAnsi="Times New Roman"/>
          <w:lang w:val="cs-CZ"/>
        </w:rPr>
        <w:t xml:space="preserve"> protřepejte a</w:t>
      </w:r>
      <w:r w:rsidRPr="00683A40">
        <w:rPr>
          <w:rFonts w:ascii="Times New Roman" w:hAnsi="Times New Roman"/>
          <w:lang w:val="cs-CZ"/>
        </w:rPr>
        <w:t xml:space="preserve"> okamžitě podávejte subkutánně jednu dávku </w:t>
      </w:r>
      <w:r w:rsidR="00944172" w:rsidRPr="00683A40">
        <w:rPr>
          <w:rFonts w:ascii="Times New Roman" w:hAnsi="Times New Roman"/>
          <w:lang w:val="cs-CZ"/>
        </w:rPr>
        <w:t xml:space="preserve">(1 ml) </w:t>
      </w:r>
      <w:r w:rsidRPr="00683A40">
        <w:rPr>
          <w:rFonts w:ascii="Times New Roman" w:hAnsi="Times New Roman"/>
          <w:lang w:val="cs-CZ"/>
        </w:rPr>
        <w:t>Canigenu DHPPi dle následujícího vakcinačního schématu:</w:t>
      </w:r>
    </w:p>
    <w:p w14:paraId="5A2D294B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i/>
          <w:lang w:val="cs-CZ"/>
        </w:rPr>
      </w:pPr>
    </w:p>
    <w:p w14:paraId="119605E7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caps/>
          <w:u w:val="single"/>
          <w:lang w:val="cs-CZ"/>
        </w:rPr>
      </w:pPr>
      <w:r w:rsidRPr="00683A40">
        <w:rPr>
          <w:rFonts w:ascii="Times New Roman" w:hAnsi="Times New Roman"/>
          <w:u w:val="single"/>
          <w:lang w:val="cs-CZ"/>
        </w:rPr>
        <w:t>Primovakcinace:</w:t>
      </w:r>
    </w:p>
    <w:p w14:paraId="436D38B9" w14:textId="77777777" w:rsidR="00940CF4" w:rsidRPr="00683A40" w:rsidRDefault="00940CF4" w:rsidP="00940CF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 xml:space="preserve">První vakcinace se provádí u štěňat od 8 týdnů věku. </w:t>
      </w:r>
    </w:p>
    <w:p w14:paraId="5025E7D3" w14:textId="77777777" w:rsidR="00940CF4" w:rsidRPr="00683A40" w:rsidRDefault="00940CF4" w:rsidP="00940CF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Druhá vakcinace po 3 – 4 týdnech.</w:t>
      </w:r>
    </w:p>
    <w:p w14:paraId="439EBA1E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eastAsia="Batang" w:hAnsi="Times New Roman" w:cs="Times New Roman"/>
          <w:lang w:val="cs-CZ"/>
        </w:rPr>
      </w:pPr>
    </w:p>
    <w:p w14:paraId="3B56DAA1" w14:textId="46E0D95F" w:rsidR="00BC0BAF" w:rsidRPr="00683A40" w:rsidRDefault="00BC0BAF" w:rsidP="00BC0BAF">
      <w:pPr>
        <w:spacing w:after="0" w:line="240" w:lineRule="auto"/>
        <w:rPr>
          <w:rFonts w:ascii="Times New Roman" w:hAnsi="Times New Roman" w:cs="Times New Roman"/>
          <w:b/>
          <w:lang w:val="cs-CZ"/>
        </w:rPr>
      </w:pP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Mateřské protilátky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mohou v některých případech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ovlivnit imunitní odpověď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na vakcinaci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.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V</w:t>
      </w:r>
      <w:r w:rsidR="00A64E39" w:rsidRPr="00683A40">
        <w:rPr>
          <w:rStyle w:val="hps"/>
          <w:rFonts w:ascii="Times New Roman" w:hAnsi="Times New Roman" w:cs="Times New Roman"/>
          <w:color w:val="222222"/>
          <w:lang w:val="cs-CZ"/>
        </w:rPr>
        <w:t> 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takových případech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se doporučuje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aplikovat třetí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dávku vakcíny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od 15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týdnů věku</w:t>
      </w:r>
      <w:r w:rsidRPr="00683A40">
        <w:rPr>
          <w:rFonts w:ascii="Times New Roman" w:hAnsi="Times New Roman" w:cs="Times New Roman"/>
          <w:color w:val="222222"/>
          <w:lang w:val="cs-CZ"/>
        </w:rPr>
        <w:t>.</w:t>
      </w:r>
    </w:p>
    <w:p w14:paraId="0E0E2224" w14:textId="77777777" w:rsidR="00BC0BAF" w:rsidRPr="00683A40" w:rsidRDefault="00BC0BAF" w:rsidP="00940CF4">
      <w:pPr>
        <w:spacing w:after="0" w:line="240" w:lineRule="auto"/>
        <w:jc w:val="both"/>
        <w:rPr>
          <w:rFonts w:ascii="Times New Roman" w:eastAsia="Batang" w:hAnsi="Times New Roman" w:cs="Times New Roman"/>
          <w:lang w:val="cs-CZ"/>
        </w:rPr>
      </w:pPr>
    </w:p>
    <w:p w14:paraId="4F4075C6" w14:textId="77777777" w:rsidR="00940CF4" w:rsidRPr="00683A40" w:rsidRDefault="00940CF4" w:rsidP="00940CF4">
      <w:pPr>
        <w:spacing w:after="0" w:line="240" w:lineRule="auto"/>
        <w:rPr>
          <w:rFonts w:ascii="Times New Roman" w:hAnsi="Times New Roman" w:cs="Times New Roman"/>
          <w:color w:val="222222"/>
          <w:u w:val="single"/>
          <w:lang w:val="cs-CZ"/>
        </w:rPr>
      </w:pPr>
      <w:r w:rsidRPr="00683A40">
        <w:rPr>
          <w:rStyle w:val="hps"/>
          <w:rFonts w:ascii="Times New Roman" w:hAnsi="Times New Roman" w:cs="Times New Roman"/>
          <w:color w:val="222222"/>
          <w:u w:val="single"/>
          <w:lang w:val="cs-CZ"/>
        </w:rPr>
        <w:t>Revakcinace</w:t>
      </w:r>
      <w:r w:rsidRPr="00683A40">
        <w:rPr>
          <w:rFonts w:ascii="Times New Roman" w:hAnsi="Times New Roman" w:cs="Times New Roman"/>
          <w:color w:val="222222"/>
          <w:u w:val="single"/>
          <w:lang w:val="cs-CZ"/>
        </w:rPr>
        <w:t>:</w:t>
      </w:r>
    </w:p>
    <w:p w14:paraId="76F31DB2" w14:textId="77777777" w:rsidR="00FD403E" w:rsidRPr="00683A40" w:rsidRDefault="00FD403E" w:rsidP="00FD403E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lang w:val="cs-CZ" w:eastAsia="en-GB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Jedna booster injekce jedné dávky by měla být podána 1 rok po primární vakcinaci.</w:t>
      </w:r>
    </w:p>
    <w:p w14:paraId="67C71DAA" w14:textId="77777777" w:rsidR="00FD403E" w:rsidRPr="00683A40" w:rsidRDefault="00FD403E" w:rsidP="00FD403E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Následné revakcinace se provádějí v intervalech až </w:t>
      </w:r>
      <w:r w:rsidR="00FF7B52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tří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let.</w:t>
      </w:r>
    </w:p>
    <w:p w14:paraId="5CC9E117" w14:textId="77777777" w:rsidR="00FD403E" w:rsidRPr="00683A40" w:rsidRDefault="00FD403E" w:rsidP="00FD403E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Každoroční revakcinace je vyžadována pro CPiV složku vakcíny.</w:t>
      </w:r>
    </w:p>
    <w:p w14:paraId="47CD237F" w14:textId="77777777" w:rsidR="00BC0BAF" w:rsidRPr="00683A40" w:rsidRDefault="00BC0BAF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1257F655" w14:textId="129B965B" w:rsidR="00D636EB" w:rsidRPr="00683A40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Pokud je </w:t>
      </w:r>
      <w:r w:rsidR="00134BC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zároveň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vyžadována aktivní imunizace proti leptospiróze, lze místo rozpouštědla použít vakcínu proti leptospiróze </w:t>
      </w:r>
      <w:r w:rsidR="00134BC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firmy Virbac. Po rekonstituci jedné dávky přípravku s jednou dávkou vakcíny proti leptospiróze</w:t>
      </w:r>
      <w:r w:rsidR="00134BC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od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firmy Virbac jemně protřepejte (rekonstituovaný přípravek je mírně růžovo-béžový) a okamžitě podejte jednu dávku 1 ml subkutánně podle stejného </w:t>
      </w:r>
      <w:r w:rsidR="000C5DB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vakcinačního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schématu, jak je uvedeno výše (pro leptospirovou složku je vyžadována každoroční revakcinace).</w:t>
      </w:r>
    </w:p>
    <w:p w14:paraId="5391D0AD" w14:textId="77777777" w:rsidR="00D636EB" w:rsidRPr="00683A40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</w:p>
    <w:p w14:paraId="1BFF66B9" w14:textId="046DEA78" w:rsidR="00D636EB" w:rsidRPr="00683A40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Pokud je také nutná aktivní imunizace proti vzteklině a pokud je k dispozici vakcína proti vzteklině </w:t>
      </w:r>
      <w:r w:rsidR="00134BC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od</w:t>
      </w:r>
      <w:r w:rsidR="00A64E39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 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firmy Virbac, lze místo rozpouštědla použít 1 dávku vakcíny proti vzteklině </w:t>
      </w:r>
      <w:r w:rsidR="00134BC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firmy Virbac. Informace o </w:t>
      </w:r>
      <w:r w:rsidR="000C5DB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vakcinačním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schématu proti vzteklině najdete v</w:t>
      </w:r>
      <w:r w:rsidR="000C5DB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 souhrnu údajů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 o vakcíně proti vzteklině </w:t>
      </w:r>
      <w:r w:rsidR="000C5DB4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od 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firmy Virbac.</w:t>
      </w:r>
    </w:p>
    <w:p w14:paraId="23D78772" w14:textId="301493EF" w:rsidR="00BC0BAF" w:rsidRPr="00683A40" w:rsidRDefault="00BC0BAF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207C11AA" w14:textId="77777777" w:rsidR="00D636EB" w:rsidRPr="00683A40" w:rsidRDefault="00D636EB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1E73DEC2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683A40">
        <w:rPr>
          <w:rFonts w:ascii="Times New Roman" w:hAnsi="Times New Roman" w:cs="Times New Roman"/>
          <w:b/>
          <w:lang w:val="cs-CZ"/>
        </w:rPr>
        <w:t>9.</w:t>
      </w:r>
      <w:r w:rsidRPr="00683A40">
        <w:rPr>
          <w:rFonts w:ascii="Times New Roman" w:hAnsi="Times New Roman" w:cs="Times New Roman"/>
          <w:b/>
          <w:lang w:val="cs-CZ"/>
        </w:rPr>
        <w:tab/>
        <w:t>POKYNY PRO SPRÁVNÉ PODÁNÍ</w:t>
      </w:r>
    </w:p>
    <w:p w14:paraId="5E3570BF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43333909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Vzhled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rekonstituovaného přípravku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je</w:t>
      </w:r>
      <w:r w:rsidRPr="00683A40">
        <w:rPr>
          <w:rFonts w:ascii="Times New Roman" w:hAnsi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color w:val="222222"/>
          <w:lang w:val="cs-CZ"/>
        </w:rPr>
        <w:t>lehce narůžovělý.</w:t>
      </w:r>
    </w:p>
    <w:p w14:paraId="1F1FEC75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6BF0458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9167485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b/>
          <w:lang w:val="cs-CZ"/>
        </w:rPr>
        <w:t>10.</w:t>
      </w:r>
      <w:r w:rsidRPr="00683A40">
        <w:rPr>
          <w:rFonts w:ascii="Times New Roman" w:hAnsi="Times New Roman"/>
          <w:b/>
          <w:lang w:val="cs-CZ"/>
        </w:rPr>
        <w:tab/>
        <w:t xml:space="preserve">OCHRANNÁ LHŮTA </w:t>
      </w:r>
    </w:p>
    <w:p w14:paraId="3D80CFE8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</w:p>
    <w:p w14:paraId="11B4DCF6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Není určeno pro potravinová zvířata.</w:t>
      </w:r>
    </w:p>
    <w:p w14:paraId="628D8F80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</w:p>
    <w:p w14:paraId="6BC6FBF0" w14:textId="77777777" w:rsidR="00FD403E" w:rsidRPr="00683A40" w:rsidRDefault="00FD403E" w:rsidP="00940CF4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</w:p>
    <w:p w14:paraId="4BBC093E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b/>
          <w:lang w:val="cs-CZ"/>
        </w:rPr>
        <w:t>11.</w:t>
      </w:r>
      <w:r w:rsidRPr="00683A40">
        <w:rPr>
          <w:rFonts w:ascii="Times New Roman" w:hAnsi="Times New Roman"/>
          <w:b/>
          <w:lang w:val="cs-CZ"/>
        </w:rPr>
        <w:tab/>
        <w:t>ZVLÁŠTNÍ OPATŘENÍ PRO UCHOVÁVÁNÍ</w:t>
      </w:r>
    </w:p>
    <w:p w14:paraId="07BB6E76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C895DAA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Uchovávat mimo dosah dětí.</w:t>
      </w:r>
    </w:p>
    <w:p w14:paraId="7CDB1074" w14:textId="77777777" w:rsidR="00940CF4" w:rsidRPr="00683A40" w:rsidRDefault="00940CF4" w:rsidP="00940CF4">
      <w:pPr>
        <w:spacing w:after="0" w:line="240" w:lineRule="auto"/>
        <w:ind w:right="-318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Uchovávejte a přepravujte chlazené (2</w:t>
      </w:r>
      <w:r w:rsidR="00FD403E"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Fonts w:ascii="Times New Roman" w:hAnsi="Times New Roman"/>
          <w:lang w:val="cs-CZ"/>
        </w:rPr>
        <w:sym w:font="Symbol" w:char="F0B0"/>
      </w:r>
      <w:r w:rsidRPr="00683A40">
        <w:rPr>
          <w:rFonts w:ascii="Times New Roman" w:hAnsi="Times New Roman"/>
          <w:lang w:val="cs-CZ"/>
        </w:rPr>
        <w:t>C – 8</w:t>
      </w:r>
      <w:r w:rsidR="00FD403E"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Fonts w:ascii="Times New Roman" w:hAnsi="Times New Roman"/>
          <w:lang w:val="cs-CZ"/>
        </w:rPr>
        <w:sym w:font="Symbol" w:char="F0B0"/>
      </w:r>
      <w:r w:rsidRPr="00683A40">
        <w:rPr>
          <w:rFonts w:ascii="Times New Roman" w:hAnsi="Times New Roman"/>
          <w:lang w:val="cs-CZ"/>
        </w:rPr>
        <w:t>C).</w:t>
      </w:r>
    </w:p>
    <w:p w14:paraId="7B134034" w14:textId="77777777" w:rsidR="00940CF4" w:rsidRPr="00683A40" w:rsidRDefault="00940CF4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Chraňte před světlem.</w:t>
      </w:r>
    </w:p>
    <w:p w14:paraId="2C92F3B8" w14:textId="77777777" w:rsidR="00940CF4" w:rsidRPr="00683A40" w:rsidRDefault="00940CF4" w:rsidP="00940CF4">
      <w:pPr>
        <w:spacing w:after="0" w:line="240" w:lineRule="auto"/>
        <w:ind w:right="-318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Chraňte před mrazem.</w:t>
      </w:r>
    </w:p>
    <w:p w14:paraId="1C9C91D1" w14:textId="77777777" w:rsidR="00940CF4" w:rsidRPr="00683A40" w:rsidRDefault="00940CF4" w:rsidP="00940CF4">
      <w:pPr>
        <w:spacing w:after="0" w:line="240" w:lineRule="auto"/>
        <w:ind w:right="-2"/>
        <w:jc w:val="both"/>
        <w:rPr>
          <w:rFonts w:ascii="Times New Roman" w:hAnsi="Times New Roman"/>
          <w:lang w:val="cs-CZ"/>
        </w:rPr>
      </w:pPr>
    </w:p>
    <w:p w14:paraId="3D92CCB4" w14:textId="3A26A6BC" w:rsidR="00940CF4" w:rsidRPr="00683A40" w:rsidRDefault="00940CF4" w:rsidP="00940CF4">
      <w:pPr>
        <w:spacing w:after="0" w:line="240" w:lineRule="auto"/>
        <w:ind w:right="-2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Nepoužívejte tento veterinární léčivý přípravek po uplynutí doby použitelnosti uvedené na etiketě po</w:t>
      </w:r>
      <w:r w:rsidR="00A64E39" w:rsidRPr="00683A40">
        <w:rPr>
          <w:rFonts w:ascii="Times New Roman" w:hAnsi="Times New Roman"/>
          <w:lang w:val="cs-CZ"/>
        </w:rPr>
        <w:t> </w:t>
      </w:r>
      <w:r w:rsidRPr="00683A40">
        <w:rPr>
          <w:rFonts w:ascii="Times New Roman" w:hAnsi="Times New Roman"/>
          <w:lang w:val="cs-CZ"/>
        </w:rPr>
        <w:t>EXP.</w:t>
      </w:r>
    </w:p>
    <w:p w14:paraId="43C3DDB2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lastRenderedPageBreak/>
        <w:t xml:space="preserve">Doba použitelnosti po prvním otevření: obsah lékovky spotřebujte bezprostředně po naředění. </w:t>
      </w:r>
    </w:p>
    <w:p w14:paraId="4C1CDA5E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9F226C9" w14:textId="77777777" w:rsidR="00940CF4" w:rsidRPr="00683A40" w:rsidRDefault="00940CF4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</w:p>
    <w:p w14:paraId="29C6B04F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b/>
          <w:lang w:val="cs-CZ"/>
        </w:rPr>
      </w:pPr>
      <w:r w:rsidRPr="00683A40">
        <w:rPr>
          <w:rFonts w:ascii="Times New Roman" w:hAnsi="Times New Roman" w:cs="Times New Roman"/>
          <w:b/>
          <w:lang w:val="cs-CZ"/>
        </w:rPr>
        <w:t>12.</w:t>
      </w:r>
      <w:r w:rsidRPr="00683A40">
        <w:rPr>
          <w:rFonts w:ascii="Times New Roman" w:hAnsi="Times New Roman" w:cs="Times New Roman"/>
          <w:b/>
          <w:lang w:val="cs-CZ"/>
        </w:rPr>
        <w:tab/>
        <w:t>ZVLÁŠTNÍ UPOZORNĚNÍ</w:t>
      </w:r>
    </w:p>
    <w:p w14:paraId="46667E85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</w:p>
    <w:p w14:paraId="65109A84" w14:textId="77777777" w:rsidR="00825644" w:rsidRPr="00683A40" w:rsidRDefault="00940CF4" w:rsidP="00940CF4">
      <w:pPr>
        <w:pStyle w:val="Zkladntext2"/>
        <w:spacing w:after="0" w:line="240" w:lineRule="auto"/>
        <w:rPr>
          <w:rFonts w:ascii="Times New Roman" w:hAnsi="Times New Roman" w:cs="Times New Roman"/>
          <w:u w:val="single"/>
          <w:lang w:val="cs-CZ"/>
        </w:rPr>
      </w:pPr>
      <w:r w:rsidRPr="00683A40">
        <w:rPr>
          <w:rFonts w:ascii="Times New Roman" w:hAnsi="Times New Roman" w:cs="Times New Roman"/>
          <w:u w:val="single"/>
          <w:lang w:val="cs-CZ"/>
        </w:rPr>
        <w:t>Zvláštní upozornění:</w:t>
      </w:r>
    </w:p>
    <w:p w14:paraId="4904B0DD" w14:textId="77777777" w:rsidR="00FD403E" w:rsidRPr="00683A40" w:rsidRDefault="00FD403E" w:rsidP="00940CF4">
      <w:pPr>
        <w:pStyle w:val="Zkladntext2"/>
        <w:spacing w:after="0" w:line="240" w:lineRule="auto"/>
        <w:rPr>
          <w:rFonts w:ascii="Times New Roman" w:hAnsi="Times New Roman" w:cs="Times New Roman"/>
          <w:lang w:val="cs-CZ"/>
        </w:rPr>
      </w:pPr>
      <w:r w:rsidRPr="00683A40">
        <w:rPr>
          <w:rFonts w:ascii="Times New Roman" w:hAnsi="Times New Roman" w:cs="Times New Roman"/>
          <w:lang w:val="cs-CZ"/>
        </w:rPr>
        <w:t>Vakcinovat pouze zdravá zvířata.</w:t>
      </w:r>
    </w:p>
    <w:p w14:paraId="5401F23D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Přítomnost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mateřských protilátek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 xml:space="preserve">(u </w:t>
      </w:r>
      <w:r w:rsidRPr="00683A40">
        <w:rPr>
          <w:rFonts w:ascii="Times New Roman" w:hAnsi="Times New Roman" w:cs="Times New Roman"/>
          <w:color w:val="222222"/>
          <w:lang w:val="cs-CZ"/>
        </w:rPr>
        <w:t>štěňat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 od vakcinovaných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fen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),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může v některých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případech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ovlivnit vakcinaci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.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Proto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by mělo být </w:t>
      </w:r>
      <w:r w:rsidRPr="00683A40">
        <w:rPr>
          <w:rStyle w:val="hps"/>
          <w:rFonts w:ascii="Times New Roman" w:hAnsi="Times New Roman" w:cs="Times New Roman"/>
          <w:color w:val="222222"/>
          <w:lang w:val="cs-CZ"/>
        </w:rPr>
        <w:t>vakcinační schéma odpovídajícím způsobem upraveno</w:t>
      </w:r>
      <w:r w:rsidRPr="00683A40">
        <w:rPr>
          <w:rFonts w:ascii="Times New Roman" w:hAnsi="Times New Roman" w:cs="Times New Roman"/>
          <w:color w:val="222222"/>
          <w:lang w:val="cs-CZ"/>
        </w:rPr>
        <w:t xml:space="preserve"> </w:t>
      </w:r>
    </w:p>
    <w:p w14:paraId="69B6F3D6" w14:textId="77777777" w:rsidR="00940CF4" w:rsidRPr="00683A40" w:rsidRDefault="00940CF4" w:rsidP="00940CF4">
      <w:pPr>
        <w:pStyle w:val="Zkladntext2"/>
        <w:spacing w:after="0" w:line="240" w:lineRule="auto"/>
        <w:rPr>
          <w:rFonts w:ascii="Times New Roman" w:hAnsi="Times New Roman" w:cs="Times New Roman"/>
          <w:lang w:val="cs-CZ"/>
        </w:rPr>
      </w:pPr>
      <w:r w:rsidRPr="00683A40">
        <w:rPr>
          <w:rFonts w:ascii="Times New Roman" w:hAnsi="Times New Roman" w:cs="Times New Roman"/>
          <w:lang w:val="cs-CZ"/>
        </w:rPr>
        <w:t xml:space="preserve"> (viz oddíl "dávkování pro každý druh, cesty a způsob podání“.)</w:t>
      </w:r>
    </w:p>
    <w:p w14:paraId="2AB5453D" w14:textId="77777777" w:rsidR="00940CF4" w:rsidRPr="00683A40" w:rsidRDefault="00940CF4" w:rsidP="00940CF4">
      <w:pPr>
        <w:pStyle w:val="Zkladntext2"/>
        <w:spacing w:after="0" w:line="240" w:lineRule="auto"/>
        <w:rPr>
          <w:rFonts w:ascii="Times New Roman" w:hAnsi="Times New Roman" w:cs="Times New Roman"/>
          <w:b/>
          <w:lang w:val="cs-CZ"/>
        </w:rPr>
      </w:pPr>
    </w:p>
    <w:p w14:paraId="072E0F9A" w14:textId="77777777" w:rsidR="00940CF4" w:rsidRPr="00683A40" w:rsidRDefault="00940CF4" w:rsidP="00940CF4">
      <w:pPr>
        <w:spacing w:after="0" w:line="240" w:lineRule="auto"/>
        <w:rPr>
          <w:rFonts w:ascii="Times New Roman" w:hAnsi="Times New Roman" w:cs="Times New Roman"/>
          <w:u w:val="single"/>
          <w:lang w:val="cs-CZ"/>
        </w:rPr>
      </w:pPr>
      <w:r w:rsidRPr="00683A40">
        <w:rPr>
          <w:rFonts w:ascii="Times New Roman" w:hAnsi="Times New Roman" w:cs="Times New Roman"/>
          <w:u w:val="single"/>
          <w:lang w:val="cs-CZ"/>
        </w:rPr>
        <w:t xml:space="preserve">Zvláštní opatření pro použití u zvířat: </w:t>
      </w:r>
    </w:p>
    <w:p w14:paraId="0D1943A4" w14:textId="77777777" w:rsidR="00FD403E" w:rsidRPr="00683A40" w:rsidRDefault="00940CF4" w:rsidP="00940CF4">
      <w:pPr>
        <w:spacing w:after="0" w:line="240" w:lineRule="auto"/>
        <w:rPr>
          <w:rFonts w:ascii="Times New Roman" w:hAnsi="Times New Roman" w:cs="Times New Roman"/>
          <w:strike/>
          <w:lang w:val="cs-CZ"/>
        </w:rPr>
      </w:pPr>
      <w:r w:rsidRPr="00683A40">
        <w:rPr>
          <w:rStyle w:val="hps"/>
          <w:rFonts w:ascii="Times New Roman" w:hAnsi="Times New Roman" w:cs="Times New Roman"/>
          <w:lang w:val="cs-CZ"/>
        </w:rPr>
        <w:t>Po</w:t>
      </w:r>
      <w:r w:rsidRPr="00683A40">
        <w:rPr>
          <w:rFonts w:ascii="Times New Roman" w:hAnsi="Times New Roman" w:cs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lang w:val="cs-CZ"/>
        </w:rPr>
        <w:t>vakcinaci</w:t>
      </w:r>
      <w:r w:rsidRPr="00683A40">
        <w:rPr>
          <w:rFonts w:ascii="Times New Roman" w:hAnsi="Times New Roman" w:cs="Times New Roman"/>
          <w:lang w:val="cs-CZ"/>
        </w:rPr>
        <w:t xml:space="preserve"> se </w:t>
      </w:r>
      <w:r w:rsidRPr="00683A40">
        <w:rPr>
          <w:rStyle w:val="hps"/>
          <w:rFonts w:ascii="Times New Roman" w:hAnsi="Times New Roman" w:cs="Times New Roman"/>
          <w:lang w:val="cs-CZ"/>
        </w:rPr>
        <w:t>živé</w:t>
      </w:r>
      <w:r w:rsidRPr="00683A40">
        <w:rPr>
          <w:rFonts w:ascii="Times New Roman" w:hAnsi="Times New Roman" w:cs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lang w:val="cs-CZ"/>
        </w:rPr>
        <w:t>virové</w:t>
      </w:r>
      <w:r w:rsidRPr="00683A40">
        <w:rPr>
          <w:rFonts w:ascii="Times New Roman" w:hAnsi="Times New Roman" w:cs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lang w:val="cs-CZ"/>
        </w:rPr>
        <w:t>vakcinační kmeny</w:t>
      </w:r>
      <w:r w:rsidRPr="00683A40">
        <w:rPr>
          <w:rFonts w:ascii="Times New Roman" w:hAnsi="Times New Roman" w:cs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lang w:val="cs-CZ"/>
        </w:rPr>
        <w:t>(</w:t>
      </w:r>
      <w:r w:rsidRPr="00683A40">
        <w:rPr>
          <w:rFonts w:ascii="Times New Roman" w:hAnsi="Times New Roman" w:cs="Times New Roman"/>
          <w:lang w:val="cs-CZ"/>
        </w:rPr>
        <w:t xml:space="preserve">CAV-2, </w:t>
      </w:r>
      <w:r w:rsidRPr="00683A40">
        <w:rPr>
          <w:rStyle w:val="hps"/>
          <w:rFonts w:ascii="Times New Roman" w:hAnsi="Times New Roman" w:cs="Times New Roman"/>
          <w:lang w:val="cs-CZ"/>
        </w:rPr>
        <w:t>CPV)</w:t>
      </w:r>
      <w:r w:rsidRPr="00683A40">
        <w:rPr>
          <w:rFonts w:ascii="Times New Roman" w:hAnsi="Times New Roman" w:cs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lang w:val="cs-CZ"/>
        </w:rPr>
        <w:t>mohou rozšířit na</w:t>
      </w:r>
      <w:r w:rsidRPr="00683A40">
        <w:rPr>
          <w:rFonts w:ascii="Times New Roman" w:hAnsi="Times New Roman" w:cs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lang w:val="cs-CZ"/>
        </w:rPr>
        <w:t>nevakcinovaná zvířata</w:t>
      </w:r>
      <w:r w:rsidRPr="00683A40">
        <w:rPr>
          <w:rFonts w:ascii="Times New Roman" w:hAnsi="Times New Roman" w:cs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lang w:val="cs-CZ"/>
        </w:rPr>
        <w:t>bez jakéhokoli</w:t>
      </w:r>
      <w:r w:rsidRPr="00683A40">
        <w:rPr>
          <w:rFonts w:ascii="Times New Roman" w:hAnsi="Times New Roman" w:cs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lang w:val="cs-CZ"/>
        </w:rPr>
        <w:t>patologického</w:t>
      </w:r>
      <w:r w:rsidRPr="00683A40">
        <w:rPr>
          <w:rFonts w:ascii="Times New Roman" w:hAnsi="Times New Roman" w:cs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lang w:val="cs-CZ"/>
        </w:rPr>
        <w:t>efektu</w:t>
      </w:r>
      <w:r w:rsidRPr="00683A40">
        <w:rPr>
          <w:rFonts w:ascii="Times New Roman" w:hAnsi="Times New Roman" w:cs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 w:cs="Times New Roman"/>
          <w:lang w:val="cs-CZ"/>
        </w:rPr>
        <w:t xml:space="preserve">pro </w:t>
      </w:r>
      <w:r w:rsidRPr="00683A40">
        <w:rPr>
          <w:rFonts w:ascii="Times New Roman" w:hAnsi="Times New Roman" w:cs="Times New Roman"/>
          <w:lang w:val="cs-CZ"/>
        </w:rPr>
        <w:t>zvířata v kontaktu.</w:t>
      </w:r>
    </w:p>
    <w:p w14:paraId="1D44A300" w14:textId="77777777" w:rsidR="00940CF4" w:rsidRPr="00683A40" w:rsidRDefault="00940CF4" w:rsidP="00940CF4">
      <w:pPr>
        <w:spacing w:after="0" w:line="240" w:lineRule="auto"/>
        <w:rPr>
          <w:rFonts w:ascii="Times New Roman" w:hAnsi="Times New Roman" w:cs="Times New Roman"/>
          <w:u w:val="single"/>
          <w:lang w:val="cs-CZ"/>
        </w:rPr>
      </w:pPr>
    </w:p>
    <w:p w14:paraId="6D2E0838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683A40">
        <w:rPr>
          <w:rFonts w:ascii="Times New Roman" w:hAnsi="Times New Roman" w:cs="Times New Roman"/>
          <w:u w:val="single"/>
          <w:lang w:val="cs-CZ"/>
        </w:rPr>
        <w:t>Zvláštní opatření určené osobám, které podávají veterinární léčivý přípravek zvířatům:</w:t>
      </w:r>
    </w:p>
    <w:p w14:paraId="19FE48A7" w14:textId="77777777" w:rsidR="00940CF4" w:rsidRPr="00683A40" w:rsidRDefault="00940CF4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683A40">
        <w:rPr>
          <w:rFonts w:ascii="Times New Roman" w:hAnsi="Times New Roman" w:cs="Times New Roman"/>
          <w:lang w:val="cs-CZ"/>
        </w:rPr>
        <w:t xml:space="preserve">V případě náhodného sebepoškození injekčně aplikovaným přípravkem, vyhledejte ihned lékařskou </w:t>
      </w:r>
    </w:p>
    <w:p w14:paraId="4B35EF55" w14:textId="77777777" w:rsidR="00940CF4" w:rsidRPr="00683A40" w:rsidRDefault="00940CF4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683A40">
        <w:rPr>
          <w:rFonts w:ascii="Times New Roman" w:hAnsi="Times New Roman" w:cs="Times New Roman"/>
          <w:lang w:val="cs-CZ"/>
        </w:rPr>
        <w:t>pomoc a ukažte příbalovou informaci nebo etiketu praktickému lékaři.</w:t>
      </w:r>
    </w:p>
    <w:p w14:paraId="6F2B6059" w14:textId="77777777" w:rsidR="00940CF4" w:rsidRPr="00683A40" w:rsidRDefault="00940CF4" w:rsidP="00940CF4">
      <w:pPr>
        <w:spacing w:after="0" w:line="240" w:lineRule="auto"/>
        <w:rPr>
          <w:rFonts w:ascii="Times New Roman" w:hAnsi="Times New Roman" w:cs="Times New Roman"/>
          <w:u w:val="single"/>
          <w:lang w:val="cs-CZ"/>
        </w:rPr>
      </w:pPr>
    </w:p>
    <w:p w14:paraId="6E1C39AE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cs-CZ"/>
        </w:rPr>
      </w:pPr>
      <w:r w:rsidRPr="00683A40">
        <w:rPr>
          <w:rFonts w:ascii="Times New Roman" w:hAnsi="Times New Roman" w:cs="Times New Roman"/>
          <w:u w:val="single"/>
          <w:lang w:val="cs-CZ"/>
        </w:rPr>
        <w:t>Použití v průběhu březosti a laktace:</w:t>
      </w:r>
    </w:p>
    <w:p w14:paraId="4BDDB216" w14:textId="77777777" w:rsidR="00940CF4" w:rsidRPr="00683A40" w:rsidRDefault="00940CF4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  <w:r w:rsidRPr="00683A40">
        <w:rPr>
          <w:rFonts w:ascii="Times New Roman" w:hAnsi="Times New Roman" w:cs="Times New Roman"/>
          <w:lang w:val="cs-CZ"/>
        </w:rPr>
        <w:t xml:space="preserve">Nepoužívat během březosti a laktace. </w:t>
      </w:r>
    </w:p>
    <w:p w14:paraId="1305C2CC" w14:textId="77777777" w:rsidR="00940CF4" w:rsidRPr="00683A40" w:rsidRDefault="00940CF4" w:rsidP="00940CF4">
      <w:pPr>
        <w:spacing w:after="0" w:line="240" w:lineRule="auto"/>
        <w:rPr>
          <w:rFonts w:ascii="Times New Roman" w:hAnsi="Times New Roman" w:cs="Times New Roman"/>
          <w:lang w:val="cs-CZ"/>
        </w:rPr>
      </w:pPr>
    </w:p>
    <w:p w14:paraId="5F0EC68D" w14:textId="77777777" w:rsidR="00940CF4" w:rsidRPr="00683A40" w:rsidRDefault="00940CF4" w:rsidP="00940CF4">
      <w:pPr>
        <w:spacing w:after="0" w:line="240" w:lineRule="auto"/>
        <w:rPr>
          <w:rFonts w:ascii="Times New Roman" w:hAnsi="Times New Roman" w:cs="Times New Roman"/>
          <w:u w:val="single"/>
          <w:lang w:val="cs-CZ"/>
        </w:rPr>
      </w:pPr>
      <w:r w:rsidRPr="00683A40">
        <w:rPr>
          <w:rFonts w:ascii="Times New Roman" w:hAnsi="Times New Roman" w:cs="Times New Roman"/>
          <w:u w:val="single"/>
          <w:lang w:val="cs-CZ"/>
        </w:rPr>
        <w:t>Interakce:</w:t>
      </w:r>
    </w:p>
    <w:p w14:paraId="54E40323" w14:textId="429EEE47" w:rsidR="00940CF4" w:rsidRPr="00683A40" w:rsidRDefault="00940CF4" w:rsidP="00940CF4">
      <w:pPr>
        <w:spacing w:after="0" w:line="240" w:lineRule="auto"/>
        <w:rPr>
          <w:rFonts w:ascii="Times New Roman" w:eastAsia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Informace o bezpečnosti a účinnosti</w:t>
      </w:r>
      <w:r w:rsidR="0017212E" w:rsidRPr="00683A40">
        <w:rPr>
          <w:rFonts w:ascii="Times New Roman" w:hAnsi="Times New Roman"/>
          <w:lang w:val="cs-CZ"/>
        </w:rPr>
        <w:t>,</w:t>
      </w:r>
      <w:r w:rsidRPr="00683A40">
        <w:rPr>
          <w:rFonts w:ascii="Times New Roman" w:hAnsi="Times New Roman"/>
          <w:lang w:val="cs-CZ"/>
        </w:rPr>
        <w:t xml:space="preserve"> které jsou k</w:t>
      </w:r>
      <w:r w:rsidR="00A64E39" w:rsidRPr="00683A40">
        <w:rPr>
          <w:rFonts w:ascii="Times New Roman" w:hAnsi="Times New Roman"/>
          <w:lang w:val="cs-CZ"/>
        </w:rPr>
        <w:t> </w:t>
      </w:r>
      <w:r w:rsidRPr="00683A40">
        <w:rPr>
          <w:rFonts w:ascii="Times New Roman" w:hAnsi="Times New Roman"/>
          <w:lang w:val="cs-CZ"/>
        </w:rPr>
        <w:t>dispozici</w:t>
      </w:r>
      <w:r w:rsidR="00A64E39" w:rsidRPr="00683A40">
        <w:rPr>
          <w:rFonts w:ascii="Times New Roman" w:hAnsi="Times New Roman"/>
          <w:lang w:val="cs-CZ"/>
        </w:rPr>
        <w:t>,</w:t>
      </w:r>
      <w:r w:rsidRPr="00683A40">
        <w:rPr>
          <w:rFonts w:ascii="Times New Roman" w:hAnsi="Times New Roman"/>
          <w:lang w:val="cs-CZ"/>
        </w:rPr>
        <w:t xml:space="preserve"> ukazují, že tuto vakcínu lze mísit a</w:t>
      </w:r>
      <w:r w:rsidR="00A64E39" w:rsidRPr="00683A40">
        <w:rPr>
          <w:rFonts w:ascii="Times New Roman" w:hAnsi="Times New Roman"/>
          <w:lang w:val="cs-CZ"/>
        </w:rPr>
        <w:t> </w:t>
      </w:r>
      <w:r w:rsidRPr="00683A40">
        <w:rPr>
          <w:rFonts w:ascii="Times New Roman" w:hAnsi="Times New Roman"/>
          <w:lang w:val="cs-CZ"/>
        </w:rPr>
        <w:t>podávat s vakcín</w:t>
      </w:r>
      <w:r w:rsidR="00490253" w:rsidRPr="00683A40">
        <w:rPr>
          <w:rFonts w:ascii="Times New Roman" w:hAnsi="Times New Roman"/>
          <w:lang w:val="cs-CZ"/>
        </w:rPr>
        <w:t>ou</w:t>
      </w:r>
      <w:r w:rsidRPr="00683A40">
        <w:rPr>
          <w:rFonts w:ascii="Times New Roman" w:hAnsi="Times New Roman"/>
          <w:lang w:val="cs-CZ"/>
        </w:rPr>
        <w:t xml:space="preserve"> proti leptospir</w:t>
      </w:r>
      <w:r w:rsidRPr="00683A40">
        <w:rPr>
          <w:rFonts w:ascii="Times New Roman" w:eastAsia="Times New Roman" w:hAnsi="Times New Roman"/>
          <w:lang w:val="cs-CZ"/>
        </w:rPr>
        <w:t>óze</w:t>
      </w:r>
      <w:r w:rsidR="00490253" w:rsidRPr="00683A40">
        <w:rPr>
          <w:rFonts w:ascii="Times New Roman" w:eastAsia="Times New Roman" w:hAnsi="Times New Roman"/>
          <w:lang w:val="cs-CZ"/>
        </w:rPr>
        <w:t>,</w:t>
      </w:r>
      <w:r w:rsidR="00BF2275" w:rsidRPr="00683A40">
        <w:rPr>
          <w:lang w:val="cs-CZ"/>
        </w:rPr>
        <w:t xml:space="preserve"> </w:t>
      </w:r>
      <w:r w:rsidR="00BF2275" w:rsidRPr="00683A40">
        <w:rPr>
          <w:rFonts w:ascii="Times New Roman" w:eastAsia="Times New Roman" w:hAnsi="Times New Roman"/>
          <w:lang w:val="cs-CZ"/>
        </w:rPr>
        <w:t xml:space="preserve">která obsahuje kmeny </w:t>
      </w:r>
      <w:r w:rsidR="00BF2275" w:rsidRPr="00683A40">
        <w:rPr>
          <w:rFonts w:ascii="Times New Roman" w:eastAsia="Times New Roman" w:hAnsi="Times New Roman"/>
          <w:i/>
          <w:lang w:val="cs-CZ"/>
        </w:rPr>
        <w:t>Leptospira interrogans</w:t>
      </w:r>
      <w:r w:rsidR="00BF2275" w:rsidRPr="00683A40">
        <w:rPr>
          <w:rFonts w:ascii="Times New Roman" w:eastAsia="Times New Roman" w:hAnsi="Times New Roman"/>
          <w:lang w:val="cs-CZ"/>
        </w:rPr>
        <w:t xml:space="preserve"> (séro</w:t>
      </w:r>
      <w:r w:rsidR="00490253" w:rsidRPr="00683A40">
        <w:rPr>
          <w:rFonts w:ascii="Times New Roman" w:eastAsia="Times New Roman" w:hAnsi="Times New Roman"/>
          <w:lang w:val="cs-CZ"/>
        </w:rPr>
        <w:t>var</w:t>
      </w:r>
      <w:r w:rsidR="00BF2275" w:rsidRPr="00683A40">
        <w:rPr>
          <w:rFonts w:ascii="Times New Roman" w:eastAsia="Times New Roman" w:hAnsi="Times New Roman"/>
          <w:lang w:val="cs-CZ"/>
        </w:rPr>
        <w:t xml:space="preserve"> Canicola ze séroskupiny Canicola a </w:t>
      </w:r>
      <w:proofErr w:type="spellStart"/>
      <w:r w:rsidR="00BF2275" w:rsidRPr="00683A40">
        <w:rPr>
          <w:rFonts w:ascii="Times New Roman" w:eastAsia="Times New Roman" w:hAnsi="Times New Roman"/>
          <w:lang w:val="cs-CZ"/>
        </w:rPr>
        <w:t>séro</w:t>
      </w:r>
      <w:r w:rsidR="00490253" w:rsidRPr="00683A40">
        <w:rPr>
          <w:rFonts w:ascii="Times New Roman" w:eastAsia="Times New Roman" w:hAnsi="Times New Roman"/>
          <w:lang w:val="cs-CZ"/>
        </w:rPr>
        <w:t>var</w:t>
      </w:r>
      <w:proofErr w:type="spellEnd"/>
      <w:r w:rsidR="00BF2275" w:rsidRPr="00683A40">
        <w:rPr>
          <w:rFonts w:ascii="Times New Roman" w:eastAsia="Times New Roman" w:hAnsi="Times New Roman"/>
          <w:lang w:val="cs-CZ"/>
        </w:rPr>
        <w:t xml:space="preserve"> </w:t>
      </w:r>
      <w:proofErr w:type="spellStart"/>
      <w:r w:rsidR="00BF2275" w:rsidRPr="00683A40">
        <w:rPr>
          <w:rFonts w:ascii="Times New Roman" w:eastAsia="Times New Roman" w:hAnsi="Times New Roman"/>
          <w:lang w:val="cs-CZ"/>
        </w:rPr>
        <w:t>Icterohaemorrhagiae</w:t>
      </w:r>
      <w:proofErr w:type="spellEnd"/>
      <w:r w:rsidR="00BF2275" w:rsidRPr="00683A40">
        <w:rPr>
          <w:rFonts w:ascii="Times New Roman" w:eastAsia="Times New Roman" w:hAnsi="Times New Roman"/>
          <w:lang w:val="cs-CZ"/>
        </w:rPr>
        <w:t xml:space="preserve"> ze </w:t>
      </w:r>
      <w:proofErr w:type="spellStart"/>
      <w:r w:rsidR="00BF2275" w:rsidRPr="00683A40">
        <w:rPr>
          <w:rFonts w:ascii="Times New Roman" w:eastAsia="Times New Roman" w:hAnsi="Times New Roman"/>
          <w:lang w:val="cs-CZ"/>
        </w:rPr>
        <w:t>séroskupiny</w:t>
      </w:r>
      <w:proofErr w:type="spellEnd"/>
      <w:r w:rsidR="00BF2275" w:rsidRPr="00683A40">
        <w:rPr>
          <w:rFonts w:ascii="Times New Roman" w:eastAsia="Times New Roman" w:hAnsi="Times New Roman"/>
          <w:lang w:val="cs-CZ"/>
        </w:rPr>
        <w:t xml:space="preserve"> </w:t>
      </w:r>
      <w:proofErr w:type="spellStart"/>
      <w:r w:rsidR="00BF2275" w:rsidRPr="00683A40">
        <w:rPr>
          <w:rFonts w:ascii="Times New Roman" w:eastAsia="Times New Roman" w:hAnsi="Times New Roman"/>
          <w:lang w:val="cs-CZ"/>
        </w:rPr>
        <w:t>Icterohaemorrhagiae</w:t>
      </w:r>
      <w:proofErr w:type="spellEnd"/>
      <w:r w:rsidR="00BF2275" w:rsidRPr="00683A40">
        <w:rPr>
          <w:rFonts w:ascii="Times New Roman" w:eastAsia="Times New Roman" w:hAnsi="Times New Roman"/>
          <w:lang w:val="cs-CZ"/>
        </w:rPr>
        <w:t>)</w:t>
      </w:r>
      <w:r w:rsidRPr="00683A40">
        <w:rPr>
          <w:rFonts w:ascii="Times New Roman" w:eastAsia="Times New Roman" w:hAnsi="Times New Roman"/>
          <w:lang w:val="cs-CZ"/>
        </w:rPr>
        <w:t xml:space="preserve"> </w:t>
      </w:r>
      <w:r w:rsidR="00D636EB" w:rsidRPr="00683A40">
        <w:rPr>
          <w:rFonts w:ascii="Times New Roman" w:eastAsia="Times New Roman" w:hAnsi="Times New Roman"/>
          <w:lang w:val="cs-CZ"/>
        </w:rPr>
        <w:t xml:space="preserve">nebo </w:t>
      </w:r>
      <w:r w:rsidR="008B18C3">
        <w:rPr>
          <w:rFonts w:ascii="Times New Roman" w:eastAsia="Times New Roman" w:hAnsi="Times New Roman"/>
          <w:lang w:val="cs-CZ"/>
        </w:rPr>
        <w:t xml:space="preserve">s vakcínou proti </w:t>
      </w:r>
      <w:r w:rsidR="00D636EB" w:rsidRPr="00683A40">
        <w:rPr>
          <w:rFonts w:ascii="Times New Roman" w:eastAsia="Times New Roman" w:hAnsi="Times New Roman"/>
          <w:lang w:val="cs-CZ"/>
        </w:rPr>
        <w:t xml:space="preserve">vzteklině </w:t>
      </w:r>
      <w:r w:rsidRPr="00683A40">
        <w:rPr>
          <w:rFonts w:ascii="Times New Roman" w:eastAsia="Times New Roman" w:hAnsi="Times New Roman"/>
          <w:lang w:val="cs-CZ"/>
        </w:rPr>
        <w:t>od firmy Virbac, pokud j</w:t>
      </w:r>
      <w:r w:rsidR="00D636EB" w:rsidRPr="00683A40">
        <w:rPr>
          <w:rFonts w:ascii="Times New Roman" w:eastAsia="Times New Roman" w:hAnsi="Times New Roman"/>
          <w:lang w:val="cs-CZ"/>
        </w:rPr>
        <w:t>sou</w:t>
      </w:r>
      <w:r w:rsidRPr="00683A40">
        <w:rPr>
          <w:rFonts w:ascii="Times New Roman" w:eastAsia="Times New Roman" w:hAnsi="Times New Roman"/>
          <w:lang w:val="cs-CZ"/>
        </w:rPr>
        <w:t xml:space="preserve"> k</w:t>
      </w:r>
      <w:r w:rsidR="00A64E39" w:rsidRPr="00683A40">
        <w:rPr>
          <w:rFonts w:ascii="Times New Roman" w:eastAsia="Times New Roman" w:hAnsi="Times New Roman"/>
          <w:lang w:val="cs-CZ"/>
        </w:rPr>
        <w:t> </w:t>
      </w:r>
      <w:r w:rsidRPr="00683A40">
        <w:rPr>
          <w:rFonts w:ascii="Times New Roman" w:eastAsia="Times New Roman" w:hAnsi="Times New Roman"/>
          <w:lang w:val="cs-CZ"/>
        </w:rPr>
        <w:t xml:space="preserve">dispozici. </w:t>
      </w:r>
    </w:p>
    <w:p w14:paraId="4A592F7B" w14:textId="1A4D48DC" w:rsidR="00940CF4" w:rsidRPr="00683A40" w:rsidRDefault="00940CF4" w:rsidP="00940CF4">
      <w:pPr>
        <w:spacing w:after="0" w:line="240" w:lineRule="auto"/>
        <w:rPr>
          <w:rFonts w:ascii="Times New Roman" w:eastAsia="Batang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 xml:space="preserve">Nejsou dostupné informace o bezpečnosti a účinnosti této vakcíny, pokud je podávána zároveň s jiným veterinárním léčivým přípravkem </w:t>
      </w:r>
      <w:r w:rsidRPr="00683A40">
        <w:rPr>
          <w:rFonts w:ascii="Times New Roman" w:hAnsi="Times New Roman"/>
          <w:sz w:val="24"/>
          <w:szCs w:val="24"/>
          <w:lang w:val="cs-CZ"/>
        </w:rPr>
        <w:t>vyjma výše zmíněn</w:t>
      </w:r>
      <w:r w:rsidR="00D636EB" w:rsidRPr="00683A40">
        <w:rPr>
          <w:rFonts w:ascii="Times New Roman" w:hAnsi="Times New Roman"/>
          <w:sz w:val="24"/>
          <w:szCs w:val="24"/>
          <w:lang w:val="cs-CZ"/>
        </w:rPr>
        <w:t>ých</w:t>
      </w:r>
      <w:r w:rsidRPr="00683A40">
        <w:rPr>
          <w:rFonts w:ascii="Times New Roman" w:hAnsi="Times New Roman"/>
          <w:sz w:val="24"/>
          <w:szCs w:val="24"/>
          <w:lang w:val="cs-CZ"/>
        </w:rPr>
        <w:t xml:space="preserve"> přípravk</w:t>
      </w:r>
      <w:r w:rsidR="00D636EB" w:rsidRPr="00683A40">
        <w:rPr>
          <w:rFonts w:ascii="Times New Roman" w:hAnsi="Times New Roman"/>
          <w:sz w:val="24"/>
          <w:szCs w:val="24"/>
          <w:lang w:val="cs-CZ"/>
        </w:rPr>
        <w:t>ů</w:t>
      </w:r>
      <w:r w:rsidRPr="00683A40">
        <w:rPr>
          <w:rFonts w:ascii="Times New Roman" w:eastAsia="Times New Roman" w:hAnsi="Times New Roman"/>
          <w:sz w:val="24"/>
          <w:szCs w:val="24"/>
          <w:lang w:val="cs-CZ"/>
        </w:rPr>
        <w:t>.</w:t>
      </w:r>
      <w:r w:rsidRPr="00683A40">
        <w:rPr>
          <w:rFonts w:ascii="Times New Roman" w:hAnsi="Times New Roman"/>
          <w:lang w:val="cs-CZ"/>
        </w:rPr>
        <w:t xml:space="preserve"> Rozhodnutí o použití této vakcíny před nebo po jakémkoliv jiném veterinárním léčivém přípravku musí být provedeno na</w:t>
      </w:r>
      <w:r w:rsidR="00A64E39" w:rsidRPr="00683A40">
        <w:rPr>
          <w:rFonts w:ascii="Times New Roman" w:hAnsi="Times New Roman"/>
          <w:lang w:val="cs-CZ"/>
        </w:rPr>
        <w:t> </w:t>
      </w:r>
      <w:r w:rsidRPr="00683A40">
        <w:rPr>
          <w:rFonts w:ascii="Times New Roman" w:hAnsi="Times New Roman"/>
          <w:lang w:val="cs-CZ"/>
        </w:rPr>
        <w:t xml:space="preserve">základě zvážení jednotlivých případů. </w:t>
      </w:r>
    </w:p>
    <w:p w14:paraId="5A7F4C63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 xml:space="preserve"> </w:t>
      </w:r>
    </w:p>
    <w:p w14:paraId="60A24F79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u w:val="single"/>
          <w:lang w:val="cs-CZ"/>
        </w:rPr>
        <w:t>Předávkování:</w:t>
      </w:r>
    </w:p>
    <w:p w14:paraId="4DCFC92C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Desetinásobná dávka neprokázala žádné jiné vedlejší účinky než ty uvedené v sekci „</w:t>
      </w:r>
      <w:r w:rsidRPr="00683A40">
        <w:rPr>
          <w:rStyle w:val="hps"/>
          <w:rFonts w:ascii="Times New Roman" w:hAnsi="Times New Roman"/>
          <w:lang w:val="cs-CZ"/>
        </w:rPr>
        <w:t>Nežádoucí účinky“</w:t>
      </w:r>
      <w:r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lang w:val="cs-CZ"/>
        </w:rPr>
        <w:t>s výjimkou</w:t>
      </w:r>
      <w:r w:rsidRPr="00683A40">
        <w:rPr>
          <w:rFonts w:ascii="Times New Roman" w:hAnsi="Times New Roman"/>
          <w:lang w:val="cs-CZ"/>
        </w:rPr>
        <w:t xml:space="preserve">, že doba trvání </w:t>
      </w:r>
      <w:r w:rsidRPr="00683A40">
        <w:rPr>
          <w:rStyle w:val="hps"/>
          <w:rFonts w:ascii="Times New Roman" w:hAnsi="Times New Roman"/>
          <w:lang w:val="cs-CZ"/>
        </w:rPr>
        <w:t>lokálních reakcí</w:t>
      </w:r>
      <w:r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lang w:val="cs-CZ"/>
        </w:rPr>
        <w:t>byla zvýšena</w:t>
      </w:r>
      <w:r w:rsidRPr="00683A40">
        <w:rPr>
          <w:rFonts w:ascii="Times New Roman" w:hAnsi="Times New Roman"/>
          <w:lang w:val="cs-CZ"/>
        </w:rPr>
        <w:t xml:space="preserve"> </w:t>
      </w:r>
      <w:r w:rsidRPr="00683A40">
        <w:rPr>
          <w:rStyle w:val="hps"/>
          <w:rFonts w:ascii="Times New Roman" w:hAnsi="Times New Roman"/>
          <w:lang w:val="cs-CZ"/>
        </w:rPr>
        <w:t>(</w:t>
      </w:r>
      <w:r w:rsidRPr="00683A40">
        <w:rPr>
          <w:rFonts w:ascii="Times New Roman" w:hAnsi="Times New Roman"/>
          <w:lang w:val="cs-CZ"/>
        </w:rPr>
        <w:t xml:space="preserve">až 26 </w:t>
      </w:r>
      <w:r w:rsidRPr="00683A40">
        <w:rPr>
          <w:rStyle w:val="hps"/>
          <w:rFonts w:ascii="Times New Roman" w:hAnsi="Times New Roman"/>
          <w:lang w:val="cs-CZ"/>
        </w:rPr>
        <w:t>dnů</w:t>
      </w:r>
      <w:r w:rsidRPr="00683A40">
        <w:rPr>
          <w:rFonts w:ascii="Times New Roman" w:hAnsi="Times New Roman"/>
          <w:lang w:val="cs-CZ"/>
        </w:rPr>
        <w:t>).</w:t>
      </w:r>
    </w:p>
    <w:p w14:paraId="37656C42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</w:p>
    <w:p w14:paraId="48F7008F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u w:val="single"/>
          <w:lang w:val="cs-CZ"/>
        </w:rPr>
        <w:t>Inkompatibility</w:t>
      </w:r>
      <w:r w:rsidRPr="00683A40">
        <w:rPr>
          <w:rFonts w:ascii="Times New Roman" w:hAnsi="Times New Roman"/>
          <w:lang w:val="cs-CZ"/>
        </w:rPr>
        <w:t>:</w:t>
      </w:r>
    </w:p>
    <w:p w14:paraId="46DD4CF5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Nemísit s jiným veterinárním léčivým přípravkem kromě přípravku uvedeného v sekci Interakce.</w:t>
      </w:r>
    </w:p>
    <w:p w14:paraId="32DE3922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</w:p>
    <w:p w14:paraId="124296EF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1FA5108A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  <w:r w:rsidRPr="00683A40">
        <w:rPr>
          <w:rFonts w:ascii="Times New Roman" w:hAnsi="Times New Roman"/>
          <w:b/>
          <w:lang w:val="cs-CZ"/>
        </w:rPr>
        <w:t>13.</w:t>
      </w:r>
      <w:r w:rsidRPr="00683A40">
        <w:rPr>
          <w:rFonts w:ascii="Times New Roman" w:hAnsi="Times New Roman"/>
          <w:b/>
          <w:lang w:val="cs-CZ"/>
        </w:rPr>
        <w:tab/>
        <w:t>ZVLÁŠTNÍ OPATŘENÍ PRO ZNEŠKODŇOVÁNÍ NEPOUŽITÝCH PŘÍPRAVKŮ NEBO ODPADU, POKUD JE JICH TŘEBA</w:t>
      </w:r>
    </w:p>
    <w:p w14:paraId="1A783D13" w14:textId="77777777" w:rsidR="00940CF4" w:rsidRPr="00683A40" w:rsidRDefault="00940CF4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</w:p>
    <w:p w14:paraId="11CBCB8F" w14:textId="63233561" w:rsidR="00940CF4" w:rsidRPr="00683A40" w:rsidRDefault="00940CF4" w:rsidP="00940CF4">
      <w:pPr>
        <w:pStyle w:val="Normlnweb"/>
        <w:spacing w:before="0" w:after="0"/>
        <w:ind w:hanging="11"/>
        <w:rPr>
          <w:sz w:val="22"/>
          <w:szCs w:val="22"/>
          <w:lang w:val="cs-CZ"/>
        </w:rPr>
      </w:pPr>
      <w:r w:rsidRPr="00683A40">
        <w:rPr>
          <w:sz w:val="22"/>
          <w:szCs w:val="22"/>
          <w:lang w:val="cs-CZ"/>
        </w:rPr>
        <w:t xml:space="preserve">Všechen nepoužitý veterinární léčivý </w:t>
      </w:r>
      <w:r w:rsidRPr="00683A40">
        <w:rPr>
          <w:rStyle w:val="hps"/>
          <w:sz w:val="22"/>
          <w:szCs w:val="22"/>
          <w:lang w:val="cs-CZ"/>
        </w:rPr>
        <w:t>přípravek</w:t>
      </w:r>
      <w:r w:rsidRPr="00683A40">
        <w:rPr>
          <w:rStyle w:val="hps"/>
          <w:color w:val="222222"/>
          <w:sz w:val="22"/>
          <w:szCs w:val="22"/>
          <w:lang w:val="cs-CZ"/>
        </w:rPr>
        <w:t xml:space="preserve"> nebo odpad,</w:t>
      </w:r>
      <w:r w:rsidRPr="00683A40">
        <w:rPr>
          <w:color w:val="222222"/>
          <w:sz w:val="22"/>
          <w:szCs w:val="22"/>
          <w:lang w:val="cs-CZ"/>
        </w:rPr>
        <w:t xml:space="preserve"> </w:t>
      </w:r>
      <w:r w:rsidRPr="00683A40">
        <w:rPr>
          <w:rStyle w:val="hps"/>
          <w:color w:val="222222"/>
          <w:sz w:val="22"/>
          <w:szCs w:val="22"/>
          <w:lang w:val="cs-CZ"/>
        </w:rPr>
        <w:t>který pochází z tohoto</w:t>
      </w:r>
      <w:r w:rsidRPr="00683A40">
        <w:rPr>
          <w:color w:val="222222"/>
          <w:sz w:val="22"/>
          <w:szCs w:val="22"/>
          <w:lang w:val="cs-CZ"/>
        </w:rPr>
        <w:t xml:space="preserve"> </w:t>
      </w:r>
      <w:r w:rsidRPr="00683A40">
        <w:rPr>
          <w:rStyle w:val="hps"/>
          <w:color w:val="222222"/>
          <w:sz w:val="22"/>
          <w:szCs w:val="22"/>
          <w:lang w:val="cs-CZ"/>
        </w:rPr>
        <w:t>veterinárního léčivého přípravku</w:t>
      </w:r>
      <w:r w:rsidR="00A64E39" w:rsidRPr="00683A40">
        <w:rPr>
          <w:rStyle w:val="hps"/>
          <w:color w:val="222222"/>
          <w:sz w:val="22"/>
          <w:szCs w:val="22"/>
          <w:lang w:val="cs-CZ"/>
        </w:rPr>
        <w:t>,</w:t>
      </w:r>
      <w:r w:rsidRPr="00683A40">
        <w:rPr>
          <w:color w:val="222222"/>
          <w:sz w:val="22"/>
          <w:szCs w:val="22"/>
          <w:lang w:val="cs-CZ"/>
        </w:rPr>
        <w:t xml:space="preserve"> </w:t>
      </w:r>
      <w:r w:rsidRPr="00683A40">
        <w:rPr>
          <w:rStyle w:val="hps"/>
          <w:color w:val="222222"/>
          <w:sz w:val="22"/>
          <w:szCs w:val="22"/>
          <w:lang w:val="cs-CZ"/>
        </w:rPr>
        <w:t>musí být likvidován</w:t>
      </w:r>
      <w:r w:rsidRPr="00683A40">
        <w:rPr>
          <w:color w:val="222222"/>
          <w:sz w:val="22"/>
          <w:szCs w:val="22"/>
          <w:lang w:val="cs-CZ"/>
        </w:rPr>
        <w:t xml:space="preserve"> </w:t>
      </w:r>
      <w:r w:rsidRPr="00683A40">
        <w:rPr>
          <w:rStyle w:val="hps"/>
          <w:color w:val="222222"/>
          <w:sz w:val="22"/>
          <w:szCs w:val="22"/>
          <w:lang w:val="cs-CZ"/>
        </w:rPr>
        <w:t>v</w:t>
      </w:r>
      <w:r w:rsidRPr="00683A40">
        <w:rPr>
          <w:color w:val="222222"/>
          <w:sz w:val="22"/>
          <w:szCs w:val="22"/>
          <w:lang w:val="cs-CZ"/>
        </w:rPr>
        <w:t xml:space="preserve"> </w:t>
      </w:r>
      <w:r w:rsidRPr="00683A40">
        <w:rPr>
          <w:rStyle w:val="hps"/>
          <w:color w:val="222222"/>
          <w:sz w:val="22"/>
          <w:szCs w:val="22"/>
          <w:lang w:val="cs-CZ"/>
        </w:rPr>
        <w:t>souladu s místními požadavky</w:t>
      </w:r>
      <w:r w:rsidRPr="00683A40">
        <w:rPr>
          <w:color w:val="222222"/>
          <w:sz w:val="22"/>
          <w:szCs w:val="22"/>
          <w:lang w:val="cs-CZ"/>
        </w:rPr>
        <w:t>.</w:t>
      </w:r>
    </w:p>
    <w:p w14:paraId="524CF5A1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6D7802AB" w14:textId="77777777" w:rsidR="00FD403E" w:rsidRPr="00683A40" w:rsidRDefault="00FD403E" w:rsidP="00940CF4">
      <w:pPr>
        <w:spacing w:after="0" w:line="240" w:lineRule="auto"/>
        <w:jc w:val="both"/>
        <w:rPr>
          <w:rFonts w:ascii="Times New Roman" w:hAnsi="Times New Roman"/>
          <w:b/>
          <w:lang w:val="cs-CZ"/>
        </w:rPr>
      </w:pPr>
    </w:p>
    <w:p w14:paraId="300B4A84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b/>
          <w:lang w:val="cs-CZ"/>
        </w:rPr>
        <w:t>14.</w:t>
      </w:r>
      <w:r w:rsidRPr="00683A40">
        <w:rPr>
          <w:rFonts w:ascii="Times New Roman" w:hAnsi="Times New Roman"/>
          <w:b/>
          <w:lang w:val="cs-CZ"/>
        </w:rPr>
        <w:tab/>
        <w:t>DATUM POSLEDNÍ REVIZE PŘÍBALOVÉ INFORMACE</w:t>
      </w:r>
    </w:p>
    <w:p w14:paraId="3C366F1D" w14:textId="77777777" w:rsidR="00940CF4" w:rsidRPr="00683A40" w:rsidRDefault="00940CF4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</w:p>
    <w:p w14:paraId="4379BC70" w14:textId="0E2899CF" w:rsidR="00940CF4" w:rsidRPr="00683A40" w:rsidRDefault="00913847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Prosinec</w:t>
      </w:r>
      <w:r w:rsidR="007E0C95" w:rsidRPr="00683A40">
        <w:rPr>
          <w:rFonts w:ascii="Times New Roman" w:hAnsi="Times New Roman"/>
          <w:lang w:val="cs-CZ"/>
        </w:rPr>
        <w:t xml:space="preserve"> 2023</w:t>
      </w:r>
    </w:p>
    <w:p w14:paraId="5E582BF8" w14:textId="77777777" w:rsidR="00B951E9" w:rsidRPr="00683A40" w:rsidRDefault="00B951E9" w:rsidP="00940CF4">
      <w:pPr>
        <w:spacing w:after="0" w:line="240" w:lineRule="auto"/>
        <w:ind w:right="-318"/>
        <w:jc w:val="both"/>
        <w:rPr>
          <w:rFonts w:ascii="Times New Roman" w:hAnsi="Times New Roman"/>
          <w:lang w:val="cs-CZ"/>
        </w:rPr>
      </w:pPr>
    </w:p>
    <w:p w14:paraId="303EEE9A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b/>
          <w:lang w:val="cs-CZ"/>
        </w:rPr>
        <w:t>15.</w:t>
      </w:r>
      <w:r w:rsidRPr="00683A40">
        <w:rPr>
          <w:rFonts w:ascii="Times New Roman" w:hAnsi="Times New Roman"/>
          <w:b/>
          <w:lang w:val="cs-CZ"/>
        </w:rPr>
        <w:tab/>
        <w:t>DALŠÍ INFORMACE</w:t>
      </w:r>
    </w:p>
    <w:p w14:paraId="79546295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556E9C3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Pouze pro zvířata.</w:t>
      </w:r>
    </w:p>
    <w:p w14:paraId="6252AC96" w14:textId="77777777" w:rsidR="00940CF4" w:rsidRPr="00683A40" w:rsidRDefault="00940CF4" w:rsidP="00940CF4">
      <w:pPr>
        <w:spacing w:after="0" w:line="240" w:lineRule="auto"/>
        <w:rPr>
          <w:rFonts w:ascii="Times New Roman" w:hAnsi="Times New Roman"/>
          <w:lang w:val="cs-CZ"/>
        </w:rPr>
      </w:pPr>
    </w:p>
    <w:p w14:paraId="18B3F307" w14:textId="77777777" w:rsidR="00940CF4" w:rsidRPr="00683A40" w:rsidRDefault="00940CF4" w:rsidP="00940CF4">
      <w:pPr>
        <w:spacing w:after="0" w:line="240" w:lineRule="auto"/>
        <w:ind w:right="566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Veterinární léčivý přípravek je vydáván pouze na předpis.</w:t>
      </w:r>
    </w:p>
    <w:p w14:paraId="4A7F02AC" w14:textId="2802BF48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633543B3" w14:textId="590BB113" w:rsidR="00D636EB" w:rsidRPr="00683A40" w:rsidRDefault="00D636EB" w:rsidP="00D636EB">
      <w:pPr>
        <w:suppressAutoHyphens w:val="0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222222"/>
          <w:lang w:val="cs-CZ" w:eastAsia="en-GB"/>
        </w:rPr>
      </w:pP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Bezbarvá skleněná </w:t>
      </w:r>
      <w:r w:rsidR="0078450B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injekční 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lahvička typu I obsahující 1 dávku lyofilizátu a bezbarvá skleněná </w:t>
      </w:r>
      <w:r w:rsidR="0078450B"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injekční 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 xml:space="preserve">lahvička typu I obsahující 1 ml </w:t>
      </w:r>
      <w:r w:rsidRPr="00683A40">
        <w:rPr>
          <w:rFonts w:ascii="Times New Roman" w:hAnsi="Times New Roman" w:cs="Times New Roman"/>
          <w:lang w:val="cs-CZ"/>
        </w:rPr>
        <w:t>rozpouštědla</w:t>
      </w:r>
      <w:r w:rsidRPr="00683A40">
        <w:rPr>
          <w:rFonts w:ascii="Times New Roman" w:eastAsia="Times New Roman" w:hAnsi="Times New Roman" w:cs="Times New Roman"/>
          <w:color w:val="222222"/>
          <w:lang w:val="cs-CZ" w:eastAsia="en-GB"/>
        </w:rPr>
        <w:t>. Lahvičky jsou uzavřeny butyl-elastomerovou zátkou a hliníkovou pertlí.</w:t>
      </w:r>
    </w:p>
    <w:p w14:paraId="0C70ECB3" w14:textId="77777777" w:rsidR="00D636EB" w:rsidRPr="00683A40" w:rsidRDefault="00D636EB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059663FE" w14:textId="77777777" w:rsidR="00940CF4" w:rsidRPr="00683A40" w:rsidRDefault="00940CF4" w:rsidP="00940CF4">
      <w:pPr>
        <w:spacing w:after="0" w:line="240" w:lineRule="auto"/>
        <w:ind w:right="566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Velikosti balení:</w:t>
      </w:r>
    </w:p>
    <w:p w14:paraId="7586C323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1 x 1 dávka, (1 lahvička lyofilizátu a 1 lahvička rozpouštědla),</w:t>
      </w:r>
    </w:p>
    <w:p w14:paraId="4DF91AF0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5 x 1 dávka, (5 lahviček lyofilizátu a 5 lahviček rozpouštědla),</w:t>
      </w:r>
    </w:p>
    <w:p w14:paraId="688B4187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10 x 1 dávka, (10 lahviček lyofilizátu a 10 lahviček rozpouštědla),</w:t>
      </w:r>
    </w:p>
    <w:p w14:paraId="415DB7CD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25 x 1dávka, (25 lahviček lyofilizátu a 25 lahviček rozpouštědla),</w:t>
      </w:r>
    </w:p>
    <w:p w14:paraId="4361128F" w14:textId="77777777" w:rsidR="00940CF4" w:rsidRPr="00683A40" w:rsidRDefault="00940CF4" w:rsidP="00940CF4">
      <w:pPr>
        <w:spacing w:after="0" w:line="240" w:lineRule="auto"/>
        <w:ind w:right="566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50 x1 dávka, (50 lahviček lyofilizátu a 50 lahviček rozpouštědla),</w:t>
      </w:r>
    </w:p>
    <w:p w14:paraId="7E11BEAE" w14:textId="77777777" w:rsidR="00940CF4" w:rsidRPr="00683A40" w:rsidRDefault="00940CF4" w:rsidP="00940CF4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83A40">
        <w:rPr>
          <w:rFonts w:ascii="Times New Roman" w:hAnsi="Times New Roman"/>
          <w:lang w:val="cs-CZ"/>
        </w:rPr>
        <w:t>100 x 1 dávka, (100 lahviček lyofilizátu a 100 lahviček rozpouštědla),</w:t>
      </w:r>
    </w:p>
    <w:p w14:paraId="09CD0509" w14:textId="77777777" w:rsidR="00940CF4" w:rsidRPr="00683A40" w:rsidRDefault="00940CF4" w:rsidP="00940CF4">
      <w:pPr>
        <w:spacing w:after="0" w:line="240" w:lineRule="auto"/>
        <w:ind w:right="566"/>
        <w:rPr>
          <w:rFonts w:ascii="Times New Roman" w:hAnsi="Times New Roman"/>
          <w:lang w:val="cs-CZ"/>
        </w:rPr>
      </w:pPr>
    </w:p>
    <w:p w14:paraId="1946EC6F" w14:textId="77777777" w:rsidR="007D607E" w:rsidRPr="00683A40" w:rsidRDefault="00940CF4" w:rsidP="001964F7">
      <w:pPr>
        <w:spacing w:after="0" w:line="240" w:lineRule="auto"/>
        <w:jc w:val="both"/>
        <w:rPr>
          <w:rFonts w:ascii="Times New Roman" w:hAnsi="Times New Roman" w:cs="Times New Roman"/>
          <w:lang w:val="cs-CZ"/>
        </w:rPr>
      </w:pPr>
      <w:r w:rsidRPr="00683A40">
        <w:rPr>
          <w:rFonts w:ascii="Times New Roman" w:hAnsi="Times New Roman"/>
          <w:lang w:val="cs-CZ"/>
        </w:rPr>
        <w:t>Na trhu nemusí být všechny velikosti balení.</w:t>
      </w:r>
    </w:p>
    <w:sectPr w:rsidR="007D607E" w:rsidRPr="00683A40" w:rsidSect="00A64E39">
      <w:type w:val="continuous"/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34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A78F6"/>
    <w:multiLevelType w:val="hybridMultilevel"/>
    <w:tmpl w:val="7AAC791E"/>
    <w:lvl w:ilvl="0" w:tplc="9CA28488">
      <w:start w:val="65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E323A"/>
    <w:multiLevelType w:val="hybridMultilevel"/>
    <w:tmpl w:val="F566FCC2"/>
    <w:lvl w:ilvl="0" w:tplc="65AA8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3E2E"/>
    <w:multiLevelType w:val="multilevel"/>
    <w:tmpl w:val="7194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10AD6"/>
    <w:multiLevelType w:val="hybridMultilevel"/>
    <w:tmpl w:val="6F4EA41E"/>
    <w:lvl w:ilvl="0" w:tplc="EC729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F1499"/>
    <w:multiLevelType w:val="hybridMultilevel"/>
    <w:tmpl w:val="DE2E0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5547"/>
    <w:multiLevelType w:val="hybridMultilevel"/>
    <w:tmpl w:val="4CEEC6BC"/>
    <w:lvl w:ilvl="0" w:tplc="F34C3B8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A1960"/>
    <w:multiLevelType w:val="hybridMultilevel"/>
    <w:tmpl w:val="4F2CB912"/>
    <w:lvl w:ilvl="0" w:tplc="9CA28488">
      <w:start w:val="65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970BC"/>
    <w:multiLevelType w:val="hybridMultilevel"/>
    <w:tmpl w:val="5FF46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E3D7B"/>
    <w:multiLevelType w:val="hybridMultilevel"/>
    <w:tmpl w:val="E2FA28F8"/>
    <w:lvl w:ilvl="0" w:tplc="9CA28488">
      <w:start w:val="6516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C5E1C"/>
    <w:multiLevelType w:val="hybridMultilevel"/>
    <w:tmpl w:val="F70AD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400" w:allStyles="0" w:customStyles="0" w:latentStyles="0" w:stylesInUse="0" w:headingStyles="0" w:numberingStyles="0" w:tableStyles="0" w:directFormattingOnRuns="0" w:directFormattingOnParagraphs="0" w:directFormattingOnNumbering="1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7D1"/>
    <w:rsid w:val="00002A8A"/>
    <w:rsid w:val="00003CFF"/>
    <w:rsid w:val="000047BC"/>
    <w:rsid w:val="000165D0"/>
    <w:rsid w:val="0001738E"/>
    <w:rsid w:val="00042B94"/>
    <w:rsid w:val="00061C14"/>
    <w:rsid w:val="000731EF"/>
    <w:rsid w:val="00082881"/>
    <w:rsid w:val="000913AF"/>
    <w:rsid w:val="000A3270"/>
    <w:rsid w:val="000B0FFF"/>
    <w:rsid w:val="000B79B0"/>
    <w:rsid w:val="000C5DB4"/>
    <w:rsid w:val="000C6E40"/>
    <w:rsid w:val="000E2A4C"/>
    <w:rsid w:val="000F4821"/>
    <w:rsid w:val="0010264A"/>
    <w:rsid w:val="00103D9B"/>
    <w:rsid w:val="0012140E"/>
    <w:rsid w:val="00125BCC"/>
    <w:rsid w:val="00134BC4"/>
    <w:rsid w:val="001546C5"/>
    <w:rsid w:val="001561BF"/>
    <w:rsid w:val="0017212E"/>
    <w:rsid w:val="0018721C"/>
    <w:rsid w:val="001924CF"/>
    <w:rsid w:val="00193A25"/>
    <w:rsid w:val="001964F7"/>
    <w:rsid w:val="001B5F6C"/>
    <w:rsid w:val="001C32C4"/>
    <w:rsid w:val="001D49D6"/>
    <w:rsid w:val="001F6D79"/>
    <w:rsid w:val="00224B6D"/>
    <w:rsid w:val="00255B6D"/>
    <w:rsid w:val="002573CA"/>
    <w:rsid w:val="00284F9D"/>
    <w:rsid w:val="002957B9"/>
    <w:rsid w:val="002D1F9B"/>
    <w:rsid w:val="002D6F6A"/>
    <w:rsid w:val="002E5ED5"/>
    <w:rsid w:val="00320725"/>
    <w:rsid w:val="0032789F"/>
    <w:rsid w:val="00380F30"/>
    <w:rsid w:val="003932ED"/>
    <w:rsid w:val="003963B9"/>
    <w:rsid w:val="003A29D9"/>
    <w:rsid w:val="003A444E"/>
    <w:rsid w:val="003B40CA"/>
    <w:rsid w:val="003C4AA7"/>
    <w:rsid w:val="003C58EC"/>
    <w:rsid w:val="003D72E6"/>
    <w:rsid w:val="003E0318"/>
    <w:rsid w:val="0040307C"/>
    <w:rsid w:val="004333F7"/>
    <w:rsid w:val="00444F4F"/>
    <w:rsid w:val="00455F0F"/>
    <w:rsid w:val="00486686"/>
    <w:rsid w:val="00490253"/>
    <w:rsid w:val="004C3842"/>
    <w:rsid w:val="004E62E0"/>
    <w:rsid w:val="005038B8"/>
    <w:rsid w:val="00512A5F"/>
    <w:rsid w:val="00540682"/>
    <w:rsid w:val="00544886"/>
    <w:rsid w:val="0055127F"/>
    <w:rsid w:val="00561148"/>
    <w:rsid w:val="005A5EEB"/>
    <w:rsid w:val="005B5AB3"/>
    <w:rsid w:val="005E3909"/>
    <w:rsid w:val="005F574C"/>
    <w:rsid w:val="00600239"/>
    <w:rsid w:val="006164E2"/>
    <w:rsid w:val="00644B94"/>
    <w:rsid w:val="00655312"/>
    <w:rsid w:val="006620EE"/>
    <w:rsid w:val="00683A40"/>
    <w:rsid w:val="006975A3"/>
    <w:rsid w:val="006A01A7"/>
    <w:rsid w:val="006A2850"/>
    <w:rsid w:val="006B0950"/>
    <w:rsid w:val="006C2EBD"/>
    <w:rsid w:val="007275AA"/>
    <w:rsid w:val="00751827"/>
    <w:rsid w:val="00760F0E"/>
    <w:rsid w:val="00761CF7"/>
    <w:rsid w:val="00762270"/>
    <w:rsid w:val="00772BF4"/>
    <w:rsid w:val="007740E8"/>
    <w:rsid w:val="0078450B"/>
    <w:rsid w:val="00785308"/>
    <w:rsid w:val="007A283F"/>
    <w:rsid w:val="007A457F"/>
    <w:rsid w:val="007B68B3"/>
    <w:rsid w:val="007C0F0A"/>
    <w:rsid w:val="007D607E"/>
    <w:rsid w:val="007D689B"/>
    <w:rsid w:val="007E0C95"/>
    <w:rsid w:val="007F1C7C"/>
    <w:rsid w:val="007F7717"/>
    <w:rsid w:val="008007D2"/>
    <w:rsid w:val="00825644"/>
    <w:rsid w:val="008350B9"/>
    <w:rsid w:val="00845436"/>
    <w:rsid w:val="00851070"/>
    <w:rsid w:val="008519C3"/>
    <w:rsid w:val="008571AE"/>
    <w:rsid w:val="008850D9"/>
    <w:rsid w:val="0088779C"/>
    <w:rsid w:val="008A5FED"/>
    <w:rsid w:val="008B18C3"/>
    <w:rsid w:val="008E484D"/>
    <w:rsid w:val="00904D41"/>
    <w:rsid w:val="00913847"/>
    <w:rsid w:val="009154E0"/>
    <w:rsid w:val="00927119"/>
    <w:rsid w:val="009312BE"/>
    <w:rsid w:val="00940CF4"/>
    <w:rsid w:val="00944172"/>
    <w:rsid w:val="00950895"/>
    <w:rsid w:val="00955C88"/>
    <w:rsid w:val="009657D1"/>
    <w:rsid w:val="00987795"/>
    <w:rsid w:val="009B1F77"/>
    <w:rsid w:val="009C3384"/>
    <w:rsid w:val="009D0396"/>
    <w:rsid w:val="009D28B3"/>
    <w:rsid w:val="009E4D60"/>
    <w:rsid w:val="00A17CA5"/>
    <w:rsid w:val="00A31D15"/>
    <w:rsid w:val="00A64D4D"/>
    <w:rsid w:val="00A64E39"/>
    <w:rsid w:val="00B02546"/>
    <w:rsid w:val="00B26F56"/>
    <w:rsid w:val="00B32723"/>
    <w:rsid w:val="00B32B49"/>
    <w:rsid w:val="00B44533"/>
    <w:rsid w:val="00B558FC"/>
    <w:rsid w:val="00B67B11"/>
    <w:rsid w:val="00B82A21"/>
    <w:rsid w:val="00B85748"/>
    <w:rsid w:val="00B87DE7"/>
    <w:rsid w:val="00B92630"/>
    <w:rsid w:val="00B951E9"/>
    <w:rsid w:val="00BA5EB4"/>
    <w:rsid w:val="00BB4195"/>
    <w:rsid w:val="00BC0BAF"/>
    <w:rsid w:val="00BD23A8"/>
    <w:rsid w:val="00BD2E15"/>
    <w:rsid w:val="00BD48DE"/>
    <w:rsid w:val="00BF2275"/>
    <w:rsid w:val="00BF7E29"/>
    <w:rsid w:val="00C127DE"/>
    <w:rsid w:val="00C151B2"/>
    <w:rsid w:val="00C21A70"/>
    <w:rsid w:val="00C26061"/>
    <w:rsid w:val="00C37970"/>
    <w:rsid w:val="00C444F6"/>
    <w:rsid w:val="00C70F45"/>
    <w:rsid w:val="00C86902"/>
    <w:rsid w:val="00C95EFB"/>
    <w:rsid w:val="00CA1C99"/>
    <w:rsid w:val="00CD6F86"/>
    <w:rsid w:val="00D062F7"/>
    <w:rsid w:val="00D315C1"/>
    <w:rsid w:val="00D342CC"/>
    <w:rsid w:val="00D464C1"/>
    <w:rsid w:val="00D636EB"/>
    <w:rsid w:val="00D91C93"/>
    <w:rsid w:val="00D9294E"/>
    <w:rsid w:val="00D92B0B"/>
    <w:rsid w:val="00DD255B"/>
    <w:rsid w:val="00E20322"/>
    <w:rsid w:val="00E400D0"/>
    <w:rsid w:val="00E45F6F"/>
    <w:rsid w:val="00E529BD"/>
    <w:rsid w:val="00EB7719"/>
    <w:rsid w:val="00ED2F06"/>
    <w:rsid w:val="00F003D5"/>
    <w:rsid w:val="00F0601E"/>
    <w:rsid w:val="00F31DEB"/>
    <w:rsid w:val="00F42B59"/>
    <w:rsid w:val="00F5336F"/>
    <w:rsid w:val="00F536EE"/>
    <w:rsid w:val="00F931F5"/>
    <w:rsid w:val="00FA3364"/>
    <w:rsid w:val="00FA4C32"/>
    <w:rsid w:val="00FA5DE3"/>
    <w:rsid w:val="00FC02F8"/>
    <w:rsid w:val="00FD403E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98BD69"/>
  <w15:docId w15:val="{C3ACD6C9-6481-4578-9000-62FF1195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1C7C"/>
    <w:pPr>
      <w:suppressAutoHyphens/>
      <w:spacing w:after="200" w:line="276" w:lineRule="auto"/>
    </w:pPr>
    <w:rPr>
      <w:rFonts w:ascii="Calibri" w:eastAsia="SimSun" w:hAnsi="Calibri" w:cs="font534"/>
      <w:sz w:val="22"/>
      <w:szCs w:val="22"/>
      <w:lang w:val="en-GB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7D607E"/>
    <w:pPr>
      <w:keepNext/>
      <w:suppressAutoHyphens w:val="0"/>
      <w:spacing w:before="240" w:after="60" w:line="240" w:lineRule="auto"/>
      <w:ind w:left="567" w:hanging="567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cs-CZ"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607E"/>
    <w:pPr>
      <w:keepNext/>
      <w:widowControl w:val="0"/>
      <w:tabs>
        <w:tab w:val="decimal" w:leader="dot" w:pos="7200"/>
        <w:tab w:val="left" w:pos="7655"/>
      </w:tabs>
      <w:suppressAutoHyphens w:val="0"/>
      <w:spacing w:after="0" w:line="240" w:lineRule="auto"/>
      <w:outlineLvl w:val="1"/>
    </w:pPr>
    <w:rPr>
      <w:rFonts w:ascii="Tahoma" w:eastAsia="Times New Roman" w:hAnsi="Tahoma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Obsahtabuky">
    <w:name w:val="Obsah tabuľky"/>
    <w:basedOn w:val="Normln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unhideWhenUsed/>
    <w:rsid w:val="00284F9D"/>
    <w:pPr>
      <w:suppressAutoHyphens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odkaz">
    <w:name w:val="Hyperlink"/>
    <w:uiPriority w:val="99"/>
    <w:unhideWhenUsed/>
    <w:rsid w:val="006B095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70F45"/>
    <w:rPr>
      <w:rFonts w:ascii="Segoe UI" w:eastAsia="SimSun" w:hAnsi="Segoe UI" w:cs="Segoe UI"/>
      <w:sz w:val="18"/>
      <w:szCs w:val="18"/>
      <w:lang w:val="en-GB" w:eastAsia="ar-SA"/>
    </w:rPr>
  </w:style>
  <w:style w:type="character" w:styleId="Odkaznakoment">
    <w:name w:val="annotation reference"/>
    <w:uiPriority w:val="99"/>
    <w:semiHidden/>
    <w:unhideWhenUsed/>
    <w:rsid w:val="00C70F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70F45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C70F45"/>
    <w:rPr>
      <w:rFonts w:ascii="Calibri" w:eastAsia="SimSun" w:hAnsi="Calibri" w:cs="font534"/>
      <w:lang w:val="en-GB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F4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70F45"/>
    <w:rPr>
      <w:rFonts w:ascii="Calibri" w:eastAsia="SimSun" w:hAnsi="Calibri" w:cs="font534"/>
      <w:b/>
      <w:bCs/>
      <w:lang w:val="en-GB" w:eastAsia="ar-SA"/>
    </w:rPr>
  </w:style>
  <w:style w:type="paragraph" w:styleId="Revize">
    <w:name w:val="Revision"/>
    <w:hidden/>
    <w:uiPriority w:val="99"/>
    <w:semiHidden/>
    <w:rsid w:val="00C70F45"/>
    <w:rPr>
      <w:rFonts w:ascii="Arial" w:hAnsi="Arial"/>
      <w:lang w:val="en-GB" w:eastAsia="fr-FR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D607E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D607E"/>
    <w:rPr>
      <w:rFonts w:ascii="Calibri" w:eastAsia="SimSun" w:hAnsi="Calibri" w:cs="font534"/>
      <w:sz w:val="22"/>
      <w:szCs w:val="22"/>
      <w:lang w:val="en-GB" w:eastAsia="ar-SA"/>
    </w:rPr>
  </w:style>
  <w:style w:type="character" w:customStyle="1" w:styleId="Nadpis1Char">
    <w:name w:val="Nadpis 1 Char"/>
    <w:link w:val="Nadpis1"/>
    <w:uiPriority w:val="9"/>
    <w:rsid w:val="007D607E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semiHidden/>
    <w:rsid w:val="007D607E"/>
    <w:rPr>
      <w:rFonts w:ascii="Tahoma" w:hAnsi="Tahoma"/>
      <w:sz w:val="24"/>
    </w:rPr>
  </w:style>
  <w:style w:type="paragraph" w:customStyle="1" w:styleId="BodyText31">
    <w:name w:val="Body Text 31"/>
    <w:basedOn w:val="Normln"/>
    <w:uiPriority w:val="99"/>
    <w:rsid w:val="007D607E"/>
    <w:pPr>
      <w:widowControl w:val="0"/>
      <w:tabs>
        <w:tab w:val="decimal" w:leader="dot" w:pos="7200"/>
        <w:tab w:val="left" w:pos="7655"/>
      </w:tabs>
      <w:suppressAutoHyphens w:val="0"/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cs-CZ" w:eastAsia="cs-CZ"/>
    </w:rPr>
  </w:style>
  <w:style w:type="character" w:customStyle="1" w:styleId="hps">
    <w:name w:val="hps"/>
    <w:rsid w:val="007D607E"/>
  </w:style>
  <w:style w:type="character" w:customStyle="1" w:styleId="atn">
    <w:name w:val="atn"/>
    <w:rsid w:val="007D607E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3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1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01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4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38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4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29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47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795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48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692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519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776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9173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361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700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1480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337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0025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98830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97381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04064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063428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77055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99483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75120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23492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8117316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258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651195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189674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8586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746745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370795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2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7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8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746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908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082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460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98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599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1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212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9764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749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224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357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758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3886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427679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791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0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8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8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37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3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74659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329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13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19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787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27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841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998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87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3119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370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190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9829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4720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14737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3760139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727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8764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468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98607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521882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57201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7064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272289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52523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64033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428684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3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4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47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34304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61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00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3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819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7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702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606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553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8091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59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95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004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1284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3045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56644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589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17088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83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0396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90751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98182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5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9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6188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277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99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57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90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1315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84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625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00889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721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69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1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083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953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146611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699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4739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3052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3638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70993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6755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69515288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98017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15383517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86174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583056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48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03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0915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15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69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85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2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68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5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3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929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818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04878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7769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0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5149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104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843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1765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555439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490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81401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4167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2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6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33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7026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9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53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7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20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615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39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3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56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2466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0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171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9406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7556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930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12190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190215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97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2378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1895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1102">
          <w:marLeft w:val="600"/>
          <w:marRight w:val="6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740">
              <w:marLeft w:val="3300"/>
              <w:marRight w:val="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2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04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7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84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456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60576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98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92541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828145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52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26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48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763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8381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947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3207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507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705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728894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6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4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3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496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26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039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067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06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4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912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46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165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5784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150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7924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739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1923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837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757925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14320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1303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62324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1482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kvbl.cz/cs/farmakovigilance" TargetMode="External"/><Relationship Id="rId5" Type="http://schemas.openxmlformats.org/officeDocument/2006/relationships/hyperlink" Target="mailto:adr@uskvb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1333</Words>
  <Characters>7870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Milanko</dc:creator>
  <cp:lastModifiedBy>Dosedlová Vilma</cp:lastModifiedBy>
  <cp:revision>21</cp:revision>
  <cp:lastPrinted>1900-12-31T22:00:00Z</cp:lastPrinted>
  <dcterms:created xsi:type="dcterms:W3CDTF">2021-04-07T07:53:00Z</dcterms:created>
  <dcterms:modified xsi:type="dcterms:W3CDTF">2024-01-04T14:30:00Z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