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3EAF9" w14:textId="4861B1F4" w:rsidR="00554D84" w:rsidRPr="00F30D3F" w:rsidRDefault="00554D84" w:rsidP="000A6B2C">
      <w:pPr>
        <w:jc w:val="center"/>
      </w:pPr>
      <w:bookmarkStart w:id="0" w:name="_GoBack"/>
      <w:bookmarkEnd w:id="0"/>
      <w:r w:rsidRPr="00F30D3F">
        <w:rPr>
          <w:b/>
        </w:rPr>
        <w:t>PŘÍBALOVÁ INFORMACE</w:t>
      </w:r>
      <w:r w:rsidR="00F95CC5">
        <w:rPr>
          <w:b/>
        </w:rPr>
        <w:t xml:space="preserve"> PRO</w:t>
      </w:r>
      <w:r w:rsidR="00CF421C" w:rsidRPr="00F30D3F">
        <w:rPr>
          <w:b/>
        </w:rPr>
        <w:t>:</w:t>
      </w:r>
    </w:p>
    <w:p w14:paraId="20F992D4" w14:textId="202B52D4" w:rsidR="003B5EA3" w:rsidRPr="003B5EA3" w:rsidRDefault="003B5EA3" w:rsidP="003B5EA3">
      <w:pPr>
        <w:jc w:val="center"/>
        <w:rPr>
          <w:b/>
        </w:rPr>
      </w:pPr>
      <w:r w:rsidRPr="003B5EA3">
        <w:rPr>
          <w:b/>
        </w:rPr>
        <w:t>Calmafusion 380</w:t>
      </w:r>
      <w:r w:rsidR="00A35EED">
        <w:rPr>
          <w:b/>
        </w:rPr>
        <w:t xml:space="preserve"> </w:t>
      </w:r>
      <w:r w:rsidRPr="003B5EA3">
        <w:rPr>
          <w:b/>
        </w:rPr>
        <w:t>mg/60</w:t>
      </w:r>
      <w:r w:rsidR="00A35EED">
        <w:rPr>
          <w:b/>
        </w:rPr>
        <w:t xml:space="preserve"> </w:t>
      </w:r>
      <w:r w:rsidRPr="003B5EA3">
        <w:rPr>
          <w:b/>
        </w:rPr>
        <w:t>mg/50</w:t>
      </w:r>
      <w:r w:rsidR="00A35EED">
        <w:rPr>
          <w:b/>
        </w:rPr>
        <w:t xml:space="preserve"> </w:t>
      </w:r>
      <w:r w:rsidRPr="003B5EA3">
        <w:rPr>
          <w:b/>
        </w:rPr>
        <w:t>mg infuzní roztok pro skot, ovce a prasata</w:t>
      </w:r>
    </w:p>
    <w:p w14:paraId="0FB13887" w14:textId="77777777" w:rsidR="00A8426D" w:rsidRPr="00F30D3F" w:rsidRDefault="00A8426D" w:rsidP="00A8426D"/>
    <w:p w14:paraId="1CD246AC" w14:textId="77777777" w:rsidR="00554D84" w:rsidRPr="00F30D3F" w:rsidRDefault="00554D84" w:rsidP="005E376A">
      <w:pPr>
        <w:rPr>
          <w:b/>
        </w:rPr>
      </w:pPr>
      <w:r w:rsidRPr="002E1B73">
        <w:rPr>
          <w:b/>
          <w:highlight w:val="lightGray"/>
        </w:rPr>
        <w:t>1.</w:t>
      </w:r>
      <w:r w:rsidRPr="00F30D3F">
        <w:rPr>
          <w:b/>
        </w:rPr>
        <w:tab/>
        <w:t>JMÉNO A ADRESA DRŽITELE ROZHODNUTÍ O REGISTRACI A DRŽITELE POVOLENÍ K VÝROBĚ ODPOVĚDNÉHO ZA UVOLNĚNÍ ŠARŽE, POKUD SE NESHODUJE</w:t>
      </w:r>
    </w:p>
    <w:p w14:paraId="49EDEDBB" w14:textId="77777777" w:rsidR="00554D84" w:rsidRPr="00F467E9" w:rsidRDefault="00554D84" w:rsidP="005E376A"/>
    <w:p w14:paraId="47C5F015" w14:textId="77777777" w:rsidR="00554D84" w:rsidRPr="00F30D3F" w:rsidRDefault="00554D84" w:rsidP="006C4941">
      <w:pPr>
        <w:rPr>
          <w:iCs/>
        </w:rPr>
      </w:pPr>
      <w:r w:rsidRPr="00F30D3F">
        <w:rPr>
          <w:iCs/>
          <w:u w:val="single"/>
        </w:rPr>
        <w:t>D</w:t>
      </w:r>
      <w:r w:rsidR="00A8426D">
        <w:rPr>
          <w:iCs/>
          <w:u w:val="single"/>
        </w:rPr>
        <w:t xml:space="preserve">ržitel rozhodnutí o registraci </w:t>
      </w:r>
      <w:r w:rsidRPr="00F30D3F">
        <w:rPr>
          <w:iCs/>
          <w:u w:val="single"/>
        </w:rPr>
        <w:t>a výrobce</w:t>
      </w:r>
      <w:r w:rsidR="00ED08CE" w:rsidRPr="00F30D3F">
        <w:rPr>
          <w:iCs/>
          <w:u w:val="single"/>
        </w:rPr>
        <w:t xml:space="preserve"> odpovědný za uvolnění šarže</w:t>
      </w:r>
      <w:r w:rsidRPr="00F30D3F">
        <w:rPr>
          <w:iCs/>
        </w:rPr>
        <w:t>:</w:t>
      </w:r>
    </w:p>
    <w:p w14:paraId="52B79437" w14:textId="77777777" w:rsidR="003B5EA3" w:rsidRPr="003B5EA3" w:rsidRDefault="003B5EA3" w:rsidP="003B5EA3">
      <w:r w:rsidRPr="003B5EA3">
        <w:t>Interchemie Werken De Adelaar Eesti AS</w:t>
      </w:r>
    </w:p>
    <w:p w14:paraId="67BDDFB7" w14:textId="77777777" w:rsidR="003B5EA3" w:rsidRPr="003B5EA3" w:rsidRDefault="003B5EA3" w:rsidP="003B5EA3">
      <w:r w:rsidRPr="003B5EA3">
        <w:t xml:space="preserve">Vanapere tee 14, Püünsi, </w:t>
      </w:r>
    </w:p>
    <w:p w14:paraId="7A3C523C" w14:textId="77777777" w:rsidR="003B5EA3" w:rsidRPr="003B5EA3" w:rsidRDefault="003B5EA3" w:rsidP="003B5EA3">
      <w:r w:rsidRPr="003B5EA3">
        <w:t xml:space="preserve">Venkovská obec </w:t>
      </w:r>
      <w:r w:rsidRPr="003B5EA3">
        <w:rPr>
          <w:lang w:val="cs"/>
        </w:rPr>
        <w:t>Viimsi</w:t>
      </w:r>
    </w:p>
    <w:p w14:paraId="772BB111" w14:textId="77777777" w:rsidR="003B5EA3" w:rsidRPr="003B5EA3" w:rsidRDefault="003B5EA3" w:rsidP="003B5EA3">
      <w:r w:rsidRPr="003B5EA3">
        <w:t>Harju kraj 74013</w:t>
      </w:r>
    </w:p>
    <w:p w14:paraId="6234E152" w14:textId="77777777" w:rsidR="003B5EA3" w:rsidRPr="003B5EA3" w:rsidRDefault="003B5EA3" w:rsidP="003B5EA3">
      <w:r w:rsidRPr="003B5EA3">
        <w:t>Estonsko</w:t>
      </w:r>
    </w:p>
    <w:p w14:paraId="40925B2A" w14:textId="77777777" w:rsidR="00554D84" w:rsidRPr="00F30D3F" w:rsidRDefault="00554D84" w:rsidP="00D629B6"/>
    <w:p w14:paraId="49C021D0" w14:textId="77777777" w:rsidR="00554D84" w:rsidRPr="00F30D3F" w:rsidRDefault="00554D84" w:rsidP="006B7975"/>
    <w:p w14:paraId="6ADE144F" w14:textId="77777777" w:rsidR="00554D84" w:rsidRPr="00F30D3F" w:rsidRDefault="00554D84" w:rsidP="006B7975">
      <w:pPr>
        <w:rPr>
          <w:b/>
        </w:rPr>
      </w:pPr>
      <w:r w:rsidRPr="002E1B73">
        <w:rPr>
          <w:b/>
          <w:highlight w:val="lightGray"/>
        </w:rPr>
        <w:t>2.</w:t>
      </w:r>
      <w:r w:rsidRPr="00F30D3F">
        <w:rPr>
          <w:b/>
        </w:rPr>
        <w:tab/>
        <w:t>NÁZEV VETERINÁRNÍHO LÉČIVÉHO PŘÍPRAVKU</w:t>
      </w:r>
    </w:p>
    <w:p w14:paraId="64BDFC2E" w14:textId="77777777" w:rsidR="00554D84" w:rsidRPr="00F30D3F" w:rsidRDefault="00554D84" w:rsidP="006B7975">
      <w:pPr>
        <w:ind w:left="0" w:firstLine="0"/>
      </w:pPr>
    </w:p>
    <w:p w14:paraId="404BF8EF" w14:textId="1C814D94" w:rsidR="003B5EA3" w:rsidRDefault="003B5EA3" w:rsidP="003B5EA3">
      <w:pPr>
        <w:rPr>
          <w:szCs w:val="22"/>
        </w:rPr>
      </w:pPr>
      <w:r w:rsidRPr="003B5EA3">
        <w:rPr>
          <w:szCs w:val="22"/>
        </w:rPr>
        <w:t>Calmafusion 380</w:t>
      </w:r>
      <w:r w:rsidR="00A35EED">
        <w:rPr>
          <w:szCs w:val="22"/>
        </w:rPr>
        <w:t xml:space="preserve"> </w:t>
      </w:r>
      <w:r w:rsidRPr="003B5EA3">
        <w:rPr>
          <w:szCs w:val="22"/>
        </w:rPr>
        <w:t>mg/60</w:t>
      </w:r>
      <w:r w:rsidR="00A35EED">
        <w:rPr>
          <w:szCs w:val="22"/>
        </w:rPr>
        <w:t xml:space="preserve"> </w:t>
      </w:r>
      <w:r w:rsidRPr="003B5EA3">
        <w:rPr>
          <w:szCs w:val="22"/>
        </w:rPr>
        <w:t>mg/50</w:t>
      </w:r>
      <w:r w:rsidR="00A35EED">
        <w:rPr>
          <w:szCs w:val="22"/>
        </w:rPr>
        <w:t xml:space="preserve"> </w:t>
      </w:r>
      <w:r w:rsidRPr="003B5EA3">
        <w:rPr>
          <w:szCs w:val="22"/>
        </w:rPr>
        <w:t>mg infuzní roztok pro skot, ovce a prasata</w:t>
      </w:r>
    </w:p>
    <w:p w14:paraId="3D2FB3E5" w14:textId="77777777" w:rsidR="00471EA4" w:rsidRPr="003B5EA3" w:rsidRDefault="00471EA4" w:rsidP="003B5EA3">
      <w:pPr>
        <w:rPr>
          <w:szCs w:val="22"/>
        </w:rPr>
      </w:pPr>
    </w:p>
    <w:p w14:paraId="0D1B9C6B" w14:textId="2789ED94" w:rsidR="003B5EA3" w:rsidRDefault="00A35EED" w:rsidP="00A8426D">
      <w:pPr>
        <w:rPr>
          <w:szCs w:val="22"/>
        </w:rPr>
      </w:pPr>
      <w:r>
        <w:rPr>
          <w:color w:val="000000"/>
        </w:rPr>
        <w:t>C</w:t>
      </w:r>
      <w:r w:rsidR="003B5EA3" w:rsidRPr="00337E78">
        <w:rPr>
          <w:color w:val="000000"/>
        </w:rPr>
        <w:t>alcii gluconas</w:t>
      </w:r>
      <w:r>
        <w:rPr>
          <w:color w:val="000000"/>
        </w:rPr>
        <w:t xml:space="preserve"> monohydricus</w:t>
      </w:r>
      <w:r w:rsidR="003B5EA3" w:rsidRPr="00337E78">
        <w:rPr>
          <w:color w:val="000000"/>
        </w:rPr>
        <w:t xml:space="preserve"> pro iniectione</w:t>
      </w:r>
      <w:r w:rsidR="003B5EA3">
        <w:rPr>
          <w:szCs w:val="22"/>
        </w:rPr>
        <w:t xml:space="preserve"> </w:t>
      </w:r>
    </w:p>
    <w:p w14:paraId="3CF3133C" w14:textId="716C03D4" w:rsidR="003B5EA3" w:rsidRDefault="00A35EED" w:rsidP="00A8426D">
      <w:pPr>
        <w:rPr>
          <w:color w:val="000000"/>
        </w:rPr>
      </w:pPr>
      <w:r>
        <w:rPr>
          <w:color w:val="000000"/>
        </w:rPr>
        <w:t>M</w:t>
      </w:r>
      <w:r w:rsidR="003B5EA3" w:rsidRPr="00337E78">
        <w:rPr>
          <w:color w:val="000000"/>
        </w:rPr>
        <w:t>agnesii chloridum hexahydricum</w:t>
      </w:r>
    </w:p>
    <w:p w14:paraId="273D7F09" w14:textId="28D2BFB6" w:rsidR="003B5EA3" w:rsidRDefault="00A35EED" w:rsidP="00A8426D">
      <w:pPr>
        <w:rPr>
          <w:color w:val="000000"/>
        </w:rPr>
      </w:pPr>
      <w:r>
        <w:rPr>
          <w:color w:val="000000"/>
        </w:rPr>
        <w:t>Acidum boricum</w:t>
      </w:r>
    </w:p>
    <w:p w14:paraId="4EEB8C20" w14:textId="77777777" w:rsidR="00A35EED" w:rsidRDefault="00A35EED" w:rsidP="00A8426D">
      <w:pPr>
        <w:rPr>
          <w:szCs w:val="22"/>
        </w:rPr>
      </w:pPr>
    </w:p>
    <w:p w14:paraId="3A6E9934" w14:textId="77777777" w:rsidR="00554D84" w:rsidRDefault="00554D84" w:rsidP="006B7975"/>
    <w:p w14:paraId="54B7B30E" w14:textId="77777777" w:rsidR="00E6140C" w:rsidRPr="00F467E9" w:rsidRDefault="00E6140C" w:rsidP="006B7975"/>
    <w:p w14:paraId="3FF830BD" w14:textId="77777777" w:rsidR="00554D84" w:rsidRPr="00F30D3F" w:rsidRDefault="00554D84" w:rsidP="006B7975">
      <w:pPr>
        <w:rPr>
          <w:b/>
        </w:rPr>
      </w:pPr>
      <w:r w:rsidRPr="002E1B73">
        <w:rPr>
          <w:b/>
          <w:highlight w:val="lightGray"/>
        </w:rPr>
        <w:t>3.</w:t>
      </w:r>
      <w:r w:rsidRPr="00F30D3F">
        <w:rPr>
          <w:b/>
        </w:rPr>
        <w:tab/>
        <w:t>OBSAH LÉČIVÝCH A OSTATNÍCH LÁTEK</w:t>
      </w:r>
    </w:p>
    <w:p w14:paraId="2F729C20" w14:textId="77777777" w:rsidR="00554D84" w:rsidRDefault="00554D84" w:rsidP="006B7975"/>
    <w:p w14:paraId="5ADC4CD1" w14:textId="372EA281" w:rsidR="00567C08" w:rsidRDefault="003B5EA3" w:rsidP="00242AAB">
      <w:r w:rsidRPr="003B5EA3">
        <w:t>Jeden</w:t>
      </w:r>
      <w:r w:rsidR="000634A1">
        <w:t xml:space="preserve"> </w:t>
      </w:r>
      <w:r w:rsidR="00A8426D">
        <w:t>ml obsahuje:</w:t>
      </w:r>
    </w:p>
    <w:p w14:paraId="507BDBEB" w14:textId="77777777" w:rsidR="00567C08" w:rsidRDefault="00567C08" w:rsidP="00D45F1E"/>
    <w:p w14:paraId="3AB0B916" w14:textId="77777777" w:rsidR="00A8426D" w:rsidRPr="00A8426D" w:rsidRDefault="00A8426D" w:rsidP="00A8426D">
      <w:pPr>
        <w:rPr>
          <w:b/>
        </w:rPr>
      </w:pPr>
      <w:r w:rsidRPr="00A8426D">
        <w:rPr>
          <w:b/>
        </w:rPr>
        <w:t>Léčivá látka:</w:t>
      </w:r>
    </w:p>
    <w:p w14:paraId="03E77A06" w14:textId="1FA7D277" w:rsidR="003B5EA3" w:rsidRPr="003B5EA3" w:rsidRDefault="003B5EA3" w:rsidP="003B5EA3">
      <w:pPr>
        <w:ind w:left="0" w:firstLine="0"/>
        <w:rPr>
          <w:color w:val="000000"/>
        </w:rPr>
      </w:pPr>
      <w:r w:rsidRPr="00337E78">
        <w:rPr>
          <w:color w:val="000000"/>
        </w:rPr>
        <w:t xml:space="preserve">Calcii gluconas </w:t>
      </w:r>
      <w:r w:rsidR="00A35EED">
        <w:rPr>
          <w:color w:val="000000"/>
        </w:rPr>
        <w:t xml:space="preserve">monohydricus </w:t>
      </w:r>
      <w:r w:rsidRPr="00337E78">
        <w:rPr>
          <w:color w:val="000000"/>
        </w:rPr>
        <w:t>pro iniectione</w:t>
      </w:r>
      <w:r w:rsidR="00A35EED">
        <w:rPr>
          <w:color w:val="000000"/>
        </w:rPr>
        <w:t xml:space="preserve">   </w:t>
      </w:r>
      <w:r>
        <w:rPr>
          <w:color w:val="000000"/>
          <w:lang w:val="cs"/>
        </w:rPr>
        <w:t xml:space="preserve"> </w:t>
      </w:r>
      <w:r w:rsidRPr="00337E78">
        <w:rPr>
          <w:color w:val="000000"/>
          <w:lang w:val="cs"/>
        </w:rPr>
        <w:t xml:space="preserve">380 </w:t>
      </w:r>
      <w:r w:rsidRPr="003B5EA3">
        <w:rPr>
          <w:color w:val="000000"/>
          <w:lang w:val="cs"/>
        </w:rPr>
        <w:t>mg (</w:t>
      </w:r>
      <w:r w:rsidR="00A35EED">
        <w:rPr>
          <w:color w:val="000000"/>
          <w:lang w:val="cs"/>
        </w:rPr>
        <w:t>odpovídá</w:t>
      </w:r>
      <w:r w:rsidRPr="003B5EA3">
        <w:rPr>
          <w:color w:val="000000"/>
          <w:lang w:val="cs"/>
        </w:rPr>
        <w:t xml:space="preserve"> 34,0 mg nebo 0,85 mmol  Ca</w:t>
      </w:r>
      <w:r w:rsidRPr="003B5EA3">
        <w:rPr>
          <w:color w:val="000000"/>
          <w:vertAlign w:val="superscript"/>
          <w:lang w:val="cs"/>
        </w:rPr>
        <w:t>2+</w:t>
      </w:r>
      <w:r w:rsidRPr="003B5EA3">
        <w:rPr>
          <w:color w:val="000000"/>
          <w:lang w:val="cs"/>
        </w:rPr>
        <w:t>)</w:t>
      </w:r>
    </w:p>
    <w:p w14:paraId="6240ED74" w14:textId="0441DC00" w:rsidR="003B5EA3" w:rsidRPr="00337E78" w:rsidRDefault="003B5EA3" w:rsidP="003B5EA3">
      <w:pPr>
        <w:rPr>
          <w:color w:val="000000"/>
        </w:rPr>
      </w:pPr>
      <w:r w:rsidRPr="003B5EA3">
        <w:rPr>
          <w:color w:val="000000"/>
        </w:rPr>
        <w:t xml:space="preserve">Magnesii chloridum hexahydricum   </w:t>
      </w:r>
      <w:r w:rsidRPr="003B5EA3">
        <w:rPr>
          <w:color w:val="000000"/>
          <w:lang w:val="cs"/>
        </w:rPr>
        <w:tab/>
        <w:t xml:space="preserve">              60 mg (</w:t>
      </w:r>
      <w:r w:rsidR="00A35EED">
        <w:rPr>
          <w:color w:val="000000"/>
          <w:lang w:val="cs"/>
        </w:rPr>
        <w:t>odpovídá</w:t>
      </w:r>
      <w:r w:rsidRPr="003B5EA3">
        <w:rPr>
          <w:color w:val="000000"/>
          <w:lang w:val="cs"/>
        </w:rPr>
        <w:t xml:space="preserve"> 7,2 mg nebo 0,30</w:t>
      </w:r>
      <w:r w:rsidRPr="00337E78">
        <w:rPr>
          <w:color w:val="000000"/>
          <w:lang w:val="cs"/>
        </w:rPr>
        <w:t xml:space="preserve"> mmol  Mg</w:t>
      </w:r>
      <w:r w:rsidRPr="00337E78">
        <w:rPr>
          <w:color w:val="000000"/>
          <w:vertAlign w:val="superscript"/>
          <w:lang w:val="cs"/>
        </w:rPr>
        <w:t>2+</w:t>
      </w:r>
      <w:r w:rsidRPr="00337E78">
        <w:rPr>
          <w:color w:val="000000"/>
          <w:lang w:val="cs"/>
        </w:rPr>
        <w:t>)</w:t>
      </w:r>
    </w:p>
    <w:p w14:paraId="6FE25A99" w14:textId="6DA1AB63" w:rsidR="003B5EA3" w:rsidRDefault="00A35EED" w:rsidP="003B5EA3">
      <w:pPr>
        <w:rPr>
          <w:color w:val="000000"/>
        </w:rPr>
      </w:pPr>
      <w:r>
        <w:rPr>
          <w:color w:val="000000"/>
        </w:rPr>
        <w:t>Acidum boricum</w:t>
      </w:r>
      <w:r w:rsidR="003B5EA3" w:rsidRPr="00337E78">
        <w:rPr>
          <w:color w:val="000000"/>
        </w:rPr>
        <w:tab/>
      </w:r>
      <w:r w:rsidR="003B5EA3" w:rsidRPr="00337E78">
        <w:rPr>
          <w:color w:val="000000"/>
        </w:rPr>
        <w:tab/>
      </w:r>
      <w:r w:rsidR="003B5EA3" w:rsidRPr="00337E78">
        <w:rPr>
          <w:color w:val="000000"/>
        </w:rPr>
        <w:tab/>
      </w:r>
      <w:r w:rsidR="003B5EA3" w:rsidRPr="00337E78">
        <w:rPr>
          <w:color w:val="000000"/>
        </w:rPr>
        <w:tab/>
        <w:t xml:space="preserve">              50 mg</w:t>
      </w:r>
    </w:p>
    <w:p w14:paraId="0C922F2F" w14:textId="77777777" w:rsidR="003B5EA3" w:rsidRPr="00337E78" w:rsidRDefault="003B5EA3" w:rsidP="003B5EA3">
      <w:pPr>
        <w:rPr>
          <w:color w:val="000000"/>
        </w:rPr>
      </w:pPr>
    </w:p>
    <w:p w14:paraId="54448FF9" w14:textId="77777777" w:rsidR="00A8426D" w:rsidRPr="00A8426D" w:rsidRDefault="00A8426D" w:rsidP="00EE1901">
      <w:pPr>
        <w:tabs>
          <w:tab w:val="left" w:pos="3119"/>
        </w:tabs>
        <w:rPr>
          <w:b/>
        </w:rPr>
      </w:pPr>
      <w:r w:rsidRPr="00A8426D">
        <w:rPr>
          <w:b/>
        </w:rPr>
        <w:t>Pomocné látky:</w:t>
      </w:r>
    </w:p>
    <w:p w14:paraId="184FF4F8" w14:textId="6E38E86D" w:rsidR="00F13C84" w:rsidRPr="00F13C84" w:rsidRDefault="00F13C84" w:rsidP="00F13C84">
      <w:r w:rsidRPr="00F13C84">
        <w:t xml:space="preserve">Voda </w:t>
      </w:r>
      <w:r w:rsidR="00A35EED">
        <w:t>pro</w:t>
      </w:r>
      <w:r w:rsidR="00A35EED" w:rsidRPr="00F13C84">
        <w:t xml:space="preserve"> </w:t>
      </w:r>
      <w:r w:rsidRPr="00F13C84">
        <w:t>injekci</w:t>
      </w:r>
    </w:p>
    <w:p w14:paraId="67DAB3EF" w14:textId="77777777" w:rsidR="00A8426D" w:rsidRDefault="00A8426D" w:rsidP="00A8426D"/>
    <w:p w14:paraId="338D1B44" w14:textId="18399A5B" w:rsidR="00A8426D" w:rsidRPr="003B5EA3" w:rsidRDefault="003B5EA3" w:rsidP="003B5EA3">
      <w:pPr>
        <w:rPr>
          <w:szCs w:val="22"/>
        </w:rPr>
      </w:pPr>
      <w:r w:rsidRPr="003B5EA3">
        <w:rPr>
          <w:szCs w:val="22"/>
        </w:rPr>
        <w:t>Čirý bezbarvý až nažloutle hnědý roztok.</w:t>
      </w:r>
    </w:p>
    <w:p w14:paraId="475BCCE1" w14:textId="77777777" w:rsidR="00554D84" w:rsidRDefault="00554D84" w:rsidP="006B7975"/>
    <w:p w14:paraId="265CF522" w14:textId="77777777" w:rsidR="00E6140C" w:rsidRPr="00F30D3F" w:rsidRDefault="00E6140C" w:rsidP="006B7975"/>
    <w:p w14:paraId="27CFB107" w14:textId="67D09EB3" w:rsidR="00554D84" w:rsidRDefault="00554D84" w:rsidP="006B7975">
      <w:pPr>
        <w:rPr>
          <w:b/>
        </w:rPr>
      </w:pPr>
      <w:r w:rsidRPr="002E1B73">
        <w:rPr>
          <w:b/>
          <w:highlight w:val="lightGray"/>
        </w:rPr>
        <w:t>4.</w:t>
      </w:r>
      <w:r w:rsidRPr="00F30D3F">
        <w:rPr>
          <w:b/>
        </w:rPr>
        <w:tab/>
        <w:t>INDIKACE</w:t>
      </w:r>
    </w:p>
    <w:p w14:paraId="49653602" w14:textId="77777777" w:rsidR="003B5EA3" w:rsidRPr="00F30D3F" w:rsidRDefault="003B5EA3" w:rsidP="006B7975">
      <w:pPr>
        <w:rPr>
          <w:b/>
        </w:rPr>
      </w:pPr>
    </w:p>
    <w:p w14:paraId="65BC9ADC" w14:textId="50E0A4BB" w:rsidR="00ED4AA9" w:rsidRPr="000222E9" w:rsidRDefault="00ED4AA9" w:rsidP="00ED4AA9">
      <w:pPr>
        <w:rPr>
          <w:color w:val="000000"/>
          <w:szCs w:val="22"/>
        </w:rPr>
      </w:pPr>
      <w:r w:rsidRPr="000222E9">
        <w:rPr>
          <w:color w:val="000000"/>
          <w:szCs w:val="22"/>
          <w:lang w:val="cs"/>
        </w:rPr>
        <w:t>Léčba akutní hypokalcémi</w:t>
      </w:r>
      <w:r>
        <w:rPr>
          <w:color w:val="000000"/>
          <w:szCs w:val="22"/>
          <w:lang w:val="cs"/>
        </w:rPr>
        <w:t>e</w:t>
      </w:r>
      <w:r w:rsidRPr="000222E9">
        <w:rPr>
          <w:color w:val="000000"/>
          <w:szCs w:val="22"/>
          <w:lang w:val="cs"/>
        </w:rPr>
        <w:t xml:space="preserve"> komplikované </w:t>
      </w:r>
      <w:r w:rsidR="00A70428">
        <w:rPr>
          <w:color w:val="000000"/>
          <w:szCs w:val="22"/>
          <w:lang w:val="cs"/>
        </w:rPr>
        <w:t>deficientem</w:t>
      </w:r>
      <w:r w:rsidRPr="000222E9">
        <w:rPr>
          <w:color w:val="000000"/>
          <w:szCs w:val="22"/>
          <w:lang w:val="cs"/>
        </w:rPr>
        <w:t xml:space="preserve"> hořčíku.</w:t>
      </w:r>
    </w:p>
    <w:p w14:paraId="6AA98885" w14:textId="77777777" w:rsidR="00554D84" w:rsidRDefault="00554D84" w:rsidP="006B7975"/>
    <w:p w14:paraId="5734D30C" w14:textId="77777777" w:rsidR="00E6140C" w:rsidRPr="00F467E9" w:rsidRDefault="00E6140C" w:rsidP="006B7975"/>
    <w:p w14:paraId="04E733AE" w14:textId="77777777" w:rsidR="00554D84" w:rsidRPr="00F30D3F" w:rsidRDefault="00554D84" w:rsidP="006B7975">
      <w:pPr>
        <w:rPr>
          <w:b/>
        </w:rPr>
      </w:pPr>
      <w:r w:rsidRPr="002E1B73">
        <w:rPr>
          <w:b/>
          <w:highlight w:val="lightGray"/>
        </w:rPr>
        <w:t>5.</w:t>
      </w:r>
      <w:r w:rsidRPr="00F30D3F">
        <w:rPr>
          <w:b/>
        </w:rPr>
        <w:t xml:space="preserve"> </w:t>
      </w:r>
      <w:r w:rsidRPr="00F30D3F">
        <w:rPr>
          <w:b/>
        </w:rPr>
        <w:tab/>
        <w:t>KONTRAINDIKACE</w:t>
      </w:r>
    </w:p>
    <w:p w14:paraId="34B65A20" w14:textId="77777777" w:rsidR="00554D84" w:rsidRDefault="00554D84" w:rsidP="006B7975"/>
    <w:p w14:paraId="10C7E86D" w14:textId="40613B4A" w:rsidR="003B5EA3" w:rsidRPr="00AE3E06" w:rsidRDefault="003B5EA3" w:rsidP="003B5EA3">
      <w:pPr>
        <w:rPr>
          <w:bCs/>
          <w:color w:val="000000"/>
        </w:rPr>
      </w:pPr>
      <w:r w:rsidRPr="00AE3E06">
        <w:rPr>
          <w:bCs/>
          <w:color w:val="000000"/>
          <w:lang w:val="cs"/>
        </w:rPr>
        <w:t>Nepoužív</w:t>
      </w:r>
      <w:r w:rsidR="00A70428">
        <w:rPr>
          <w:bCs/>
          <w:color w:val="000000"/>
          <w:lang w:val="cs"/>
        </w:rPr>
        <w:t>at</w:t>
      </w:r>
      <w:r w:rsidRPr="00AE3E06">
        <w:rPr>
          <w:bCs/>
          <w:color w:val="000000"/>
          <w:lang w:val="cs"/>
        </w:rPr>
        <w:t xml:space="preserve"> v případech hyperkalcémie a hypermagnezémie.</w:t>
      </w:r>
    </w:p>
    <w:p w14:paraId="602C5B1D" w14:textId="6D2C6976" w:rsidR="003B5EA3" w:rsidRPr="00AE3E06" w:rsidRDefault="003B5EA3" w:rsidP="003B5EA3">
      <w:pPr>
        <w:rPr>
          <w:bCs/>
          <w:color w:val="000000"/>
        </w:rPr>
      </w:pPr>
      <w:r w:rsidRPr="00AE3E06">
        <w:rPr>
          <w:bCs/>
          <w:color w:val="000000"/>
          <w:lang w:val="cs"/>
        </w:rPr>
        <w:t>Nepoužív</w:t>
      </w:r>
      <w:r w:rsidR="00A70428">
        <w:rPr>
          <w:bCs/>
          <w:color w:val="000000"/>
          <w:lang w:val="cs"/>
        </w:rPr>
        <w:t>at</w:t>
      </w:r>
      <w:r w:rsidRPr="00AE3E06">
        <w:rPr>
          <w:bCs/>
          <w:color w:val="000000"/>
          <w:lang w:val="cs"/>
        </w:rPr>
        <w:t xml:space="preserve"> v případech kalcinózy u skotu a ovcí.</w:t>
      </w:r>
    </w:p>
    <w:p w14:paraId="20B0463F" w14:textId="58200FEA" w:rsidR="003B5EA3" w:rsidRPr="00AE3E06" w:rsidRDefault="003B5EA3" w:rsidP="003B5EA3">
      <w:pPr>
        <w:rPr>
          <w:rFonts w:ascii="Arial" w:hAnsi="Arial" w:cs="Arial"/>
          <w:color w:val="000000"/>
        </w:rPr>
      </w:pPr>
      <w:r w:rsidRPr="00AE3E06">
        <w:rPr>
          <w:bCs/>
          <w:color w:val="000000"/>
        </w:rPr>
        <w:t>Nepoužív</w:t>
      </w:r>
      <w:r w:rsidR="0063465B">
        <w:rPr>
          <w:bCs/>
          <w:color w:val="000000"/>
        </w:rPr>
        <w:t>at</w:t>
      </w:r>
      <w:r w:rsidRPr="00AE3E06">
        <w:rPr>
          <w:bCs/>
          <w:color w:val="000000"/>
        </w:rPr>
        <w:t xml:space="preserve"> po </w:t>
      </w:r>
      <w:r w:rsidR="00ED4AA9">
        <w:rPr>
          <w:bCs/>
          <w:color w:val="000000"/>
        </w:rPr>
        <w:t>podání</w:t>
      </w:r>
      <w:r w:rsidR="00ED4AA9" w:rsidRPr="00AE3E06">
        <w:rPr>
          <w:bCs/>
          <w:color w:val="000000"/>
        </w:rPr>
        <w:t xml:space="preserve"> </w:t>
      </w:r>
      <w:r w:rsidRPr="00AE3E06">
        <w:rPr>
          <w:bCs/>
          <w:color w:val="000000"/>
        </w:rPr>
        <w:t>vysokých dávek vitamínu D</w:t>
      </w:r>
      <w:r w:rsidRPr="00AE3E06">
        <w:rPr>
          <w:color w:val="000000"/>
          <w:vertAlign w:val="subscript"/>
        </w:rPr>
        <w:t>3</w:t>
      </w:r>
      <w:r w:rsidR="00ED4AA9">
        <w:rPr>
          <w:color w:val="000000"/>
          <w:vertAlign w:val="subscript"/>
        </w:rPr>
        <w:t>.</w:t>
      </w:r>
    </w:p>
    <w:p w14:paraId="0B8D1249" w14:textId="610F5C92" w:rsidR="003B5EA3" w:rsidRPr="00AE3E06" w:rsidRDefault="003B5EA3" w:rsidP="003B5EA3">
      <w:pPr>
        <w:rPr>
          <w:bCs/>
          <w:color w:val="000000"/>
          <w:lang w:val="cs"/>
        </w:rPr>
      </w:pPr>
      <w:r w:rsidRPr="00AE3E06">
        <w:rPr>
          <w:bCs/>
          <w:color w:val="000000"/>
          <w:lang w:val="cs"/>
        </w:rPr>
        <w:t>Nepoužív</w:t>
      </w:r>
      <w:r w:rsidR="0063465B">
        <w:rPr>
          <w:bCs/>
          <w:color w:val="000000"/>
          <w:lang w:val="cs"/>
        </w:rPr>
        <w:t>at</w:t>
      </w:r>
      <w:r w:rsidRPr="00AE3E06">
        <w:rPr>
          <w:bCs/>
          <w:color w:val="000000"/>
          <w:lang w:val="cs"/>
        </w:rPr>
        <w:t xml:space="preserve"> v případech chronické insuficience ledvin nebo v případech oběhových nebo srdečních </w:t>
      </w:r>
    </w:p>
    <w:p w14:paraId="2583A925" w14:textId="494C34A9" w:rsidR="003B5EA3" w:rsidRPr="00AE3E06" w:rsidRDefault="003B5EA3" w:rsidP="003B5EA3">
      <w:pPr>
        <w:rPr>
          <w:bCs/>
          <w:color w:val="000000"/>
        </w:rPr>
      </w:pPr>
      <w:r w:rsidRPr="00AE3E06">
        <w:rPr>
          <w:bCs/>
          <w:color w:val="000000"/>
          <w:lang w:val="cs"/>
        </w:rPr>
        <w:t>poruch.</w:t>
      </w:r>
    </w:p>
    <w:p w14:paraId="46FCA424" w14:textId="5268691C" w:rsidR="003B5EA3" w:rsidRPr="00AE3E06" w:rsidRDefault="003B5EA3" w:rsidP="003B5EA3">
      <w:pPr>
        <w:rPr>
          <w:bCs/>
          <w:color w:val="000000"/>
        </w:rPr>
      </w:pPr>
      <w:r w:rsidRPr="00AE3E06">
        <w:rPr>
          <w:bCs/>
          <w:color w:val="000000"/>
          <w:lang w:val="cs"/>
        </w:rPr>
        <w:t xml:space="preserve">Nepoužívat u skotu trpícího septikemií </w:t>
      </w:r>
      <w:r w:rsidR="0063465B">
        <w:rPr>
          <w:bCs/>
          <w:color w:val="000000"/>
          <w:lang w:val="cs"/>
        </w:rPr>
        <w:t>v průběhu</w:t>
      </w:r>
      <w:r w:rsidR="0063465B" w:rsidRPr="00AE3E06">
        <w:rPr>
          <w:bCs/>
          <w:color w:val="000000"/>
          <w:lang w:val="cs"/>
        </w:rPr>
        <w:t xml:space="preserve"> </w:t>
      </w:r>
      <w:r w:rsidRPr="00AE3E06">
        <w:rPr>
          <w:bCs/>
          <w:color w:val="000000"/>
          <w:lang w:val="cs"/>
        </w:rPr>
        <w:t>akutní mastitidy skotu.</w:t>
      </w:r>
    </w:p>
    <w:p w14:paraId="5CA43812" w14:textId="4B2C5E0E" w:rsidR="00EF6F86" w:rsidRPr="00AE3E06" w:rsidRDefault="003B5EA3" w:rsidP="00AE3E06">
      <w:pPr>
        <w:rPr>
          <w:bCs/>
          <w:color w:val="000000"/>
        </w:rPr>
      </w:pPr>
      <w:r w:rsidRPr="00AE3E06">
        <w:rPr>
          <w:bCs/>
          <w:color w:val="000000"/>
          <w:lang w:val="cs"/>
        </w:rPr>
        <w:t>Současně s touto infúzí nebo krátce po ní nepodávejte roztoky anorganických fosfátů.</w:t>
      </w:r>
    </w:p>
    <w:p w14:paraId="2307FE28" w14:textId="77777777" w:rsidR="00EF6F86" w:rsidRDefault="00EF6F86" w:rsidP="00EF6F86"/>
    <w:p w14:paraId="209147F5" w14:textId="77777777" w:rsidR="00E6140C" w:rsidRPr="00F30D3F" w:rsidRDefault="00E6140C" w:rsidP="00EF6F86"/>
    <w:p w14:paraId="04AE026D" w14:textId="77777777" w:rsidR="00554D84" w:rsidRPr="00F30D3F" w:rsidRDefault="00554D84" w:rsidP="006B7975">
      <w:r w:rsidRPr="002E1B73">
        <w:rPr>
          <w:b/>
          <w:highlight w:val="lightGray"/>
        </w:rPr>
        <w:t>6.</w:t>
      </w:r>
      <w:r w:rsidRPr="00F30D3F">
        <w:rPr>
          <w:b/>
        </w:rPr>
        <w:tab/>
        <w:t>NEŽÁDOUCÍ ÚČINKY</w:t>
      </w:r>
    </w:p>
    <w:p w14:paraId="229FC46D" w14:textId="77777777" w:rsidR="00554D84" w:rsidRPr="00F30D3F" w:rsidRDefault="00554D84" w:rsidP="006B7975"/>
    <w:p w14:paraId="658D06C5" w14:textId="77777777" w:rsidR="00AE3E06" w:rsidRPr="00337E78" w:rsidRDefault="00AE3E06" w:rsidP="00AE3E06">
      <w:pPr>
        <w:autoSpaceDE w:val="0"/>
        <w:autoSpaceDN w:val="0"/>
        <w:adjustRightInd w:val="0"/>
        <w:rPr>
          <w:color w:val="000000"/>
          <w:highlight w:val="yellow"/>
        </w:rPr>
      </w:pPr>
      <w:r w:rsidRPr="00AE3E06">
        <w:rPr>
          <w:color w:val="000000"/>
        </w:rPr>
        <w:t>Vápník může vyvolat transientní hyperkalcémii s následujícími symptomy: iniciální</w:t>
      </w:r>
      <w:r w:rsidRPr="00337E78">
        <w:rPr>
          <w:color w:val="000000"/>
        </w:rPr>
        <w:t xml:space="preserve"> bradykardie,</w:t>
      </w:r>
      <w:r w:rsidRPr="00337E78">
        <w:rPr>
          <w:color w:val="000000"/>
          <w:highlight w:val="yellow"/>
        </w:rPr>
        <w:t xml:space="preserve"> </w:t>
      </w:r>
    </w:p>
    <w:p w14:paraId="6E49B377" w14:textId="77777777" w:rsidR="00AE3E06" w:rsidRPr="00337E78" w:rsidRDefault="00AE3E06" w:rsidP="00AE3E06">
      <w:pPr>
        <w:autoSpaceDE w:val="0"/>
        <w:autoSpaceDN w:val="0"/>
        <w:adjustRightInd w:val="0"/>
        <w:rPr>
          <w:color w:val="000000"/>
          <w:highlight w:val="yellow"/>
        </w:rPr>
      </w:pPr>
      <w:r w:rsidRPr="00337E78">
        <w:rPr>
          <w:color w:val="000000"/>
        </w:rPr>
        <w:t>neklid, svalový třes, salivace, zvýšení dechové frekvence.</w:t>
      </w:r>
    </w:p>
    <w:p w14:paraId="4F93784F" w14:textId="66C9F393" w:rsidR="00036A9C" w:rsidRDefault="00036A9C" w:rsidP="00532D5C">
      <w:pPr>
        <w:jc w:val="both"/>
        <w:rPr>
          <w:b/>
          <w:szCs w:val="22"/>
        </w:rPr>
      </w:pPr>
    </w:p>
    <w:p w14:paraId="4260132E" w14:textId="77777777" w:rsidR="00AE3E06" w:rsidRPr="00337E78" w:rsidRDefault="00AE3E06" w:rsidP="00AE3E06">
      <w:pPr>
        <w:autoSpaceDE w:val="0"/>
        <w:autoSpaceDN w:val="0"/>
        <w:adjustRightInd w:val="0"/>
        <w:rPr>
          <w:color w:val="000000"/>
        </w:rPr>
      </w:pPr>
      <w:r w:rsidRPr="00337E78">
        <w:rPr>
          <w:color w:val="000000"/>
        </w:rPr>
        <w:t xml:space="preserve">Zrychlení srdečního rytmu po iniciální bradykardii lze považovat za příznak začínajícího </w:t>
      </w:r>
    </w:p>
    <w:p w14:paraId="7ACCB030" w14:textId="77777777" w:rsidR="00AE3E06" w:rsidRPr="00337E78" w:rsidRDefault="00AE3E06" w:rsidP="00AE3E06">
      <w:pPr>
        <w:autoSpaceDE w:val="0"/>
        <w:autoSpaceDN w:val="0"/>
        <w:adjustRightInd w:val="0"/>
        <w:rPr>
          <w:color w:val="000000"/>
        </w:rPr>
      </w:pPr>
      <w:r w:rsidRPr="00337E78">
        <w:rPr>
          <w:color w:val="000000"/>
        </w:rPr>
        <w:t xml:space="preserve">předávkování. V takovém případě je nutné infuzi ihned přerušit. Opožděné nežádoucí účinky ve formě </w:t>
      </w:r>
    </w:p>
    <w:p w14:paraId="19901188" w14:textId="77777777" w:rsidR="00AE3E06" w:rsidRPr="00337E78" w:rsidRDefault="00AE3E06" w:rsidP="00AE3E06">
      <w:pPr>
        <w:autoSpaceDE w:val="0"/>
        <w:autoSpaceDN w:val="0"/>
        <w:adjustRightInd w:val="0"/>
        <w:rPr>
          <w:color w:val="000000"/>
        </w:rPr>
      </w:pPr>
      <w:r w:rsidRPr="00337E78">
        <w:rPr>
          <w:color w:val="000000"/>
        </w:rPr>
        <w:t xml:space="preserve">všeobecné nevolnosti s příznaky hyperkalcémie mohou nastoupit 6-10 hodin po infúzi a nesmí se </w:t>
      </w:r>
    </w:p>
    <w:p w14:paraId="46FD5E0E" w14:textId="77777777" w:rsidR="00AE3E06" w:rsidRPr="00337E78" w:rsidRDefault="00AE3E06" w:rsidP="00AE3E06">
      <w:pPr>
        <w:autoSpaceDE w:val="0"/>
        <w:autoSpaceDN w:val="0"/>
        <w:adjustRightInd w:val="0"/>
        <w:ind w:left="0" w:firstLine="0"/>
        <w:rPr>
          <w:color w:val="000000"/>
        </w:rPr>
      </w:pPr>
      <w:r w:rsidRPr="00337E78">
        <w:rPr>
          <w:color w:val="000000"/>
        </w:rPr>
        <w:t xml:space="preserve">chybně diagnostikovat jako recidiva hypokalcémie. </w:t>
      </w:r>
    </w:p>
    <w:p w14:paraId="5AB825BF" w14:textId="77777777" w:rsidR="00AE3E06" w:rsidRDefault="00AE3E06" w:rsidP="00532D5C">
      <w:pPr>
        <w:ind w:left="0" w:firstLine="0"/>
        <w:jc w:val="both"/>
        <w:rPr>
          <w:szCs w:val="22"/>
        </w:rPr>
      </w:pPr>
    </w:p>
    <w:p w14:paraId="37FABEFA" w14:textId="0CD26B8E" w:rsidR="00554D84" w:rsidRPr="00532D5C" w:rsidRDefault="00554D84" w:rsidP="00532D5C">
      <w:pPr>
        <w:ind w:left="0" w:firstLine="0"/>
        <w:jc w:val="both"/>
        <w:rPr>
          <w:szCs w:val="22"/>
        </w:rPr>
      </w:pPr>
      <w:r w:rsidRPr="00532D5C">
        <w:rPr>
          <w:szCs w:val="22"/>
        </w:rPr>
        <w:t xml:space="preserve">Jestliže zaznamenáte </w:t>
      </w:r>
      <w:r w:rsidR="0063465B">
        <w:rPr>
          <w:szCs w:val="22"/>
        </w:rPr>
        <w:t>jakékoliv</w:t>
      </w:r>
      <w:r w:rsidR="00DE44F8" w:rsidRPr="00532D5C">
        <w:rPr>
          <w:szCs w:val="22"/>
        </w:rPr>
        <w:t xml:space="preserve"> </w:t>
      </w:r>
      <w:r w:rsidRPr="00532D5C">
        <w:rPr>
          <w:szCs w:val="22"/>
        </w:rPr>
        <w:t xml:space="preserve">nežádoucí </w:t>
      </w:r>
      <w:r w:rsidR="00DE44F8" w:rsidRPr="00532D5C">
        <w:rPr>
          <w:szCs w:val="22"/>
        </w:rPr>
        <w:t>účink</w:t>
      </w:r>
      <w:r w:rsidR="0063465B">
        <w:rPr>
          <w:szCs w:val="22"/>
        </w:rPr>
        <w:t>y,</w:t>
      </w:r>
      <w:r w:rsidR="00DE44F8" w:rsidRPr="00532D5C">
        <w:rPr>
          <w:szCs w:val="22"/>
        </w:rPr>
        <w:t xml:space="preserve"> a to i takové</w:t>
      </w:r>
      <w:r w:rsidR="003312A6" w:rsidRPr="00532D5C">
        <w:rPr>
          <w:szCs w:val="22"/>
        </w:rPr>
        <w:t xml:space="preserve">, které nejsou uvedeny v </w:t>
      </w:r>
      <w:r w:rsidRPr="00532D5C">
        <w:rPr>
          <w:szCs w:val="22"/>
        </w:rPr>
        <w:t xml:space="preserve">této příbalové informaci, </w:t>
      </w:r>
      <w:r w:rsidR="0056452D" w:rsidRPr="00532D5C">
        <w:rPr>
          <w:szCs w:val="22"/>
        </w:rPr>
        <w:t xml:space="preserve">nebo si myslíte, že </w:t>
      </w:r>
      <w:r w:rsidR="0063465B">
        <w:rPr>
          <w:szCs w:val="22"/>
        </w:rPr>
        <w:t>léčivý přípravek není účinný</w:t>
      </w:r>
      <w:r w:rsidR="0056452D" w:rsidRPr="00532D5C">
        <w:rPr>
          <w:szCs w:val="22"/>
        </w:rPr>
        <w:t xml:space="preserve">, </w:t>
      </w:r>
      <w:r w:rsidRPr="00532D5C">
        <w:rPr>
          <w:szCs w:val="22"/>
        </w:rPr>
        <w:t>oznamte to</w:t>
      </w:r>
      <w:r w:rsidR="00DE44F8" w:rsidRPr="00532D5C">
        <w:rPr>
          <w:szCs w:val="22"/>
        </w:rPr>
        <w:t>,</w:t>
      </w:r>
      <w:r w:rsidRPr="00532D5C">
        <w:rPr>
          <w:szCs w:val="22"/>
        </w:rPr>
        <w:t xml:space="preserve"> prosím</w:t>
      </w:r>
      <w:r w:rsidR="00DE44F8" w:rsidRPr="00532D5C">
        <w:rPr>
          <w:szCs w:val="22"/>
        </w:rPr>
        <w:t>,</w:t>
      </w:r>
      <w:r w:rsidRPr="00532D5C">
        <w:rPr>
          <w:szCs w:val="22"/>
        </w:rPr>
        <w:t xml:space="preserve"> vašemu veterinárnímu lékaři.</w:t>
      </w:r>
    </w:p>
    <w:p w14:paraId="297D4F18" w14:textId="13BB6C3E" w:rsidR="00554D84" w:rsidRDefault="00554D84" w:rsidP="006B7975">
      <w:pPr>
        <w:rPr>
          <w:szCs w:val="22"/>
        </w:rPr>
      </w:pPr>
    </w:p>
    <w:p w14:paraId="534D4428" w14:textId="398B3E1C" w:rsidR="000634A1" w:rsidRPr="000634A1" w:rsidRDefault="00273C61" w:rsidP="00A4670A">
      <w:pPr>
        <w:ind w:left="0" w:firstLine="0"/>
        <w:jc w:val="both"/>
        <w:rPr>
          <w:szCs w:val="22"/>
        </w:rPr>
      </w:pPr>
      <w:r w:rsidRPr="00532D5C">
        <w:rPr>
          <w:szCs w:val="22"/>
        </w:rPr>
        <w:t>Nežádoucí účinky můžete hlásit prostřednictvím formuláře na webových stránkách ÚSKVBL</w:t>
      </w:r>
      <w:r w:rsidR="000634A1">
        <w:rPr>
          <w:szCs w:val="22"/>
        </w:rPr>
        <w:t xml:space="preserve"> </w:t>
      </w:r>
      <w:r w:rsidRPr="00532D5C">
        <w:rPr>
          <w:szCs w:val="22"/>
        </w:rPr>
        <w:t xml:space="preserve">elektronicky, nebo také přímo na adresu: </w:t>
      </w:r>
    </w:p>
    <w:p w14:paraId="085A9091" w14:textId="77777777" w:rsidR="000634A1" w:rsidRPr="000F652B" w:rsidRDefault="000634A1" w:rsidP="000634A1">
      <w:r w:rsidRPr="000F652B">
        <w:t xml:space="preserve">Ústav pro státní kontrolu veterinárních biopreparátů a léčiv </w:t>
      </w:r>
    </w:p>
    <w:p w14:paraId="1568BCE1" w14:textId="77777777" w:rsidR="000634A1" w:rsidRPr="000F652B" w:rsidRDefault="000634A1" w:rsidP="000634A1">
      <w:r w:rsidRPr="000F652B">
        <w:t>Hudcova 56a</w:t>
      </w:r>
    </w:p>
    <w:p w14:paraId="6E22D209" w14:textId="77777777" w:rsidR="000634A1" w:rsidRDefault="000634A1" w:rsidP="000634A1">
      <w:r w:rsidRPr="000F652B">
        <w:t>621 00 Brno</w:t>
      </w:r>
    </w:p>
    <w:p w14:paraId="48E09C5A" w14:textId="77777777" w:rsidR="000634A1" w:rsidRDefault="000634A1" w:rsidP="000634A1">
      <w:r>
        <w:t xml:space="preserve">Mail: </w:t>
      </w:r>
      <w:hyperlink r:id="rId8" w:history="1">
        <w:r>
          <w:rPr>
            <w:rStyle w:val="Hypertextovodkaz"/>
          </w:rPr>
          <w:t>adr@uskvbl.cz</w:t>
        </w:r>
      </w:hyperlink>
    </w:p>
    <w:p w14:paraId="6BDB16EA" w14:textId="0C584F7D" w:rsidR="000634A1" w:rsidRPr="000F652B" w:rsidRDefault="000634A1" w:rsidP="000634A1">
      <w:r w:rsidRPr="000F652B">
        <w:t xml:space="preserve">Webové stránky: </w:t>
      </w:r>
      <w:hyperlink r:id="rId9" w:history="1">
        <w:r w:rsidRPr="000F652B">
          <w:rPr>
            <w:rStyle w:val="Hypertextovodkaz"/>
          </w:rPr>
          <w:t>http://www.uskvbl.cz/cs/farmakovigilance</w:t>
        </w:r>
      </w:hyperlink>
    </w:p>
    <w:p w14:paraId="37473709" w14:textId="77777777" w:rsidR="00DE44F8" w:rsidRDefault="00DE44F8" w:rsidP="000634A1">
      <w:pPr>
        <w:ind w:left="0" w:firstLine="0"/>
        <w:jc w:val="both"/>
      </w:pPr>
    </w:p>
    <w:p w14:paraId="42173321" w14:textId="77777777" w:rsidR="003312A6" w:rsidRPr="00F30D3F" w:rsidRDefault="003312A6" w:rsidP="000A6B2C"/>
    <w:p w14:paraId="0F11512F" w14:textId="77777777" w:rsidR="00554D84" w:rsidRPr="00F30D3F" w:rsidRDefault="00554D84" w:rsidP="00696B0E">
      <w:pPr>
        <w:keepNext/>
      </w:pPr>
      <w:r w:rsidRPr="002E1B73">
        <w:rPr>
          <w:b/>
          <w:highlight w:val="lightGray"/>
        </w:rPr>
        <w:t>7.</w:t>
      </w:r>
      <w:r w:rsidRPr="00F30D3F">
        <w:rPr>
          <w:b/>
        </w:rPr>
        <w:tab/>
        <w:t>CÍLOVÝ DRUH ZVÍŘAT</w:t>
      </w:r>
    </w:p>
    <w:p w14:paraId="26642389" w14:textId="77777777" w:rsidR="00554D84" w:rsidRDefault="00554D84" w:rsidP="00696B0E">
      <w:pPr>
        <w:keepNext/>
      </w:pPr>
    </w:p>
    <w:p w14:paraId="0F8AB262" w14:textId="77777777" w:rsidR="00AE3E06" w:rsidRPr="00AE3E06" w:rsidRDefault="00AE3E06" w:rsidP="00AE3E06">
      <w:r w:rsidRPr="00AE3E06">
        <w:t>Skot, ovce, prasata.</w:t>
      </w:r>
    </w:p>
    <w:p w14:paraId="16669548" w14:textId="77777777" w:rsidR="003312A6" w:rsidRPr="00F30D3F" w:rsidRDefault="003312A6" w:rsidP="005E376A"/>
    <w:p w14:paraId="7879B7A8" w14:textId="77777777" w:rsidR="00554D84" w:rsidRPr="00F467E9" w:rsidRDefault="00554D84" w:rsidP="006C4941"/>
    <w:p w14:paraId="70879353" w14:textId="77777777" w:rsidR="00554D84" w:rsidRPr="00F30D3F" w:rsidRDefault="00554D84" w:rsidP="00476943">
      <w:r w:rsidRPr="002E1B73">
        <w:rPr>
          <w:b/>
          <w:highlight w:val="lightGray"/>
        </w:rPr>
        <w:t>8.</w:t>
      </w:r>
      <w:r w:rsidRPr="00F30D3F">
        <w:rPr>
          <w:b/>
        </w:rPr>
        <w:tab/>
        <w:t>DÁVKOVÁNÍ PRO KAŽDÝ DRUH, CESTA(Y) A ZPŮSOB PODÁNÍ</w:t>
      </w:r>
    </w:p>
    <w:p w14:paraId="1C2BDB8E" w14:textId="77777777" w:rsidR="00742EB3" w:rsidRDefault="00742EB3" w:rsidP="001751C8"/>
    <w:p w14:paraId="3EE642EA" w14:textId="77777777" w:rsidR="00AE3E06" w:rsidRPr="00AE3E06" w:rsidRDefault="00AE3E06" w:rsidP="00AE3E06">
      <w:r w:rsidRPr="00AE3E06">
        <w:t xml:space="preserve">Intravenózní infúze se musí provádět pomalu po dobu 20–30 minut. Menší objemy (méně než 50 </w:t>
      </w:r>
    </w:p>
    <w:p w14:paraId="22A1EDB1" w14:textId="186E503D" w:rsidR="00AE3E06" w:rsidRPr="00AE3E06" w:rsidRDefault="00AE3E06" w:rsidP="00AE3E06">
      <w:r w:rsidRPr="00AE3E06">
        <w:rPr>
          <w:lang w:val="cs"/>
        </w:rPr>
        <w:t>ml) by se měly podávat sterilní stříkačkou nebo injekční pumpou se stříkačkou.</w:t>
      </w:r>
    </w:p>
    <w:p w14:paraId="39285B3F" w14:textId="77777777" w:rsidR="00AE3E06" w:rsidRPr="00AE3E06" w:rsidRDefault="00AE3E06" w:rsidP="00AE3E06"/>
    <w:p w14:paraId="5C413F59" w14:textId="77777777" w:rsidR="00AE3E06" w:rsidRPr="00AE3E06" w:rsidRDefault="00AE3E06" w:rsidP="00AE3E06">
      <w:pPr>
        <w:rPr>
          <w:b/>
          <w:bCs/>
        </w:rPr>
      </w:pPr>
      <w:r w:rsidRPr="00AE3E06">
        <w:rPr>
          <w:b/>
          <w:bCs/>
        </w:rPr>
        <w:t>Skot</w:t>
      </w:r>
    </w:p>
    <w:p w14:paraId="2035F9DD" w14:textId="77777777" w:rsidR="00ED4AA9" w:rsidRPr="000222E9" w:rsidRDefault="00ED4AA9" w:rsidP="00ED4AA9">
      <w:pPr>
        <w:rPr>
          <w:color w:val="000000"/>
          <w:szCs w:val="22"/>
        </w:rPr>
      </w:pPr>
      <w:r w:rsidRPr="000222E9">
        <w:rPr>
          <w:color w:val="000000"/>
          <w:szCs w:val="22"/>
          <w:lang w:val="cs"/>
        </w:rPr>
        <w:t>Podávejte 14–20 mg Ca</w:t>
      </w:r>
      <w:r w:rsidRPr="000222E9">
        <w:rPr>
          <w:color w:val="000000"/>
          <w:szCs w:val="22"/>
          <w:vertAlign w:val="superscript"/>
          <w:lang w:val="cs"/>
        </w:rPr>
        <w:t>2+</w:t>
      </w:r>
      <w:r w:rsidRPr="000222E9">
        <w:rPr>
          <w:color w:val="000000"/>
          <w:szCs w:val="22"/>
          <w:lang w:val="cs"/>
        </w:rPr>
        <w:t xml:space="preserve"> (0,34–0,51 mmol Ca</w:t>
      </w:r>
      <w:r w:rsidRPr="000222E9">
        <w:rPr>
          <w:color w:val="000000"/>
          <w:szCs w:val="22"/>
          <w:vertAlign w:val="superscript"/>
          <w:lang w:val="cs"/>
        </w:rPr>
        <w:t>2+</w:t>
      </w:r>
      <w:r w:rsidRPr="000222E9">
        <w:rPr>
          <w:color w:val="000000"/>
          <w:szCs w:val="22"/>
          <w:lang w:val="cs"/>
        </w:rPr>
        <w:t>) a 2,9–4,3 mg Mg</w:t>
      </w:r>
      <w:r w:rsidRPr="000222E9">
        <w:rPr>
          <w:color w:val="000000"/>
          <w:szCs w:val="22"/>
          <w:vertAlign w:val="superscript"/>
          <w:lang w:val="cs"/>
        </w:rPr>
        <w:t>2+</w:t>
      </w:r>
      <w:r w:rsidRPr="000222E9">
        <w:rPr>
          <w:color w:val="000000"/>
          <w:szCs w:val="22"/>
          <w:lang w:val="cs"/>
        </w:rPr>
        <w:t xml:space="preserve"> (0,12–0,18 mmol Mg</w:t>
      </w:r>
      <w:r w:rsidRPr="000222E9">
        <w:rPr>
          <w:color w:val="000000"/>
          <w:szCs w:val="22"/>
          <w:vertAlign w:val="superscript"/>
          <w:lang w:val="cs"/>
        </w:rPr>
        <w:t>2+</w:t>
      </w:r>
      <w:r w:rsidRPr="000222E9">
        <w:rPr>
          <w:color w:val="000000"/>
          <w:szCs w:val="22"/>
          <w:lang w:val="cs"/>
        </w:rPr>
        <w:t xml:space="preserve">) </w:t>
      </w:r>
    </w:p>
    <w:p w14:paraId="51BF5479" w14:textId="31A96873" w:rsidR="00ED4AA9" w:rsidRPr="000222E9" w:rsidRDefault="00ED4AA9" w:rsidP="00ED4AA9">
      <w:pPr>
        <w:rPr>
          <w:color w:val="000000"/>
          <w:szCs w:val="22"/>
        </w:rPr>
      </w:pPr>
      <w:r w:rsidRPr="000222E9">
        <w:rPr>
          <w:color w:val="000000"/>
          <w:szCs w:val="22"/>
          <w:lang w:val="cs"/>
        </w:rPr>
        <w:t xml:space="preserve">na jeden kg </w:t>
      </w:r>
      <w:r>
        <w:rPr>
          <w:color w:val="000000"/>
          <w:szCs w:val="22"/>
          <w:lang w:val="cs"/>
        </w:rPr>
        <w:t>živ</w:t>
      </w:r>
      <w:r w:rsidRPr="000222E9">
        <w:rPr>
          <w:color w:val="000000"/>
          <w:szCs w:val="22"/>
          <w:lang w:val="cs"/>
        </w:rPr>
        <w:t>é hmotnosti, což odpovídá 0,4–0,6 ml p</w:t>
      </w:r>
      <w:r>
        <w:rPr>
          <w:color w:val="000000"/>
          <w:szCs w:val="22"/>
          <w:lang w:val="cs"/>
        </w:rPr>
        <w:t>řípravku</w:t>
      </w:r>
      <w:r w:rsidR="005122FB">
        <w:rPr>
          <w:color w:val="000000"/>
          <w:szCs w:val="22"/>
          <w:lang w:val="cs"/>
        </w:rPr>
        <w:t xml:space="preserve"> </w:t>
      </w:r>
      <w:r w:rsidRPr="000222E9">
        <w:rPr>
          <w:color w:val="000000"/>
          <w:szCs w:val="22"/>
          <w:lang w:val="cs"/>
        </w:rPr>
        <w:t xml:space="preserve">na 1 kg </w:t>
      </w:r>
      <w:r>
        <w:rPr>
          <w:color w:val="000000"/>
          <w:szCs w:val="22"/>
          <w:lang w:val="cs"/>
        </w:rPr>
        <w:t>živ</w:t>
      </w:r>
      <w:r w:rsidRPr="000222E9">
        <w:rPr>
          <w:color w:val="000000"/>
          <w:szCs w:val="22"/>
          <w:lang w:val="cs"/>
        </w:rPr>
        <w:t>é hmotnosti.</w:t>
      </w:r>
    </w:p>
    <w:p w14:paraId="341880D9" w14:textId="77777777" w:rsidR="00ED4AA9" w:rsidRPr="000222E9" w:rsidRDefault="00ED4AA9" w:rsidP="00ED4AA9">
      <w:pPr>
        <w:ind w:left="0" w:firstLine="0"/>
        <w:rPr>
          <w:b/>
          <w:bCs/>
          <w:color w:val="000000"/>
          <w:szCs w:val="22"/>
        </w:rPr>
      </w:pPr>
    </w:p>
    <w:p w14:paraId="2B13C4F9" w14:textId="77777777" w:rsidR="00ED4AA9" w:rsidRPr="000222E9" w:rsidRDefault="00ED4AA9" w:rsidP="00ED4AA9">
      <w:pPr>
        <w:ind w:left="0" w:firstLine="0"/>
        <w:jc w:val="both"/>
        <w:rPr>
          <w:b/>
          <w:bCs/>
          <w:color w:val="000000"/>
          <w:szCs w:val="22"/>
        </w:rPr>
      </w:pPr>
      <w:r w:rsidRPr="000222E9">
        <w:rPr>
          <w:b/>
          <w:bCs/>
          <w:color w:val="000000"/>
          <w:szCs w:val="22"/>
        </w:rPr>
        <w:t>Ovce, tele, prase</w:t>
      </w:r>
    </w:p>
    <w:p w14:paraId="30784A84" w14:textId="77777777" w:rsidR="00ED4AA9" w:rsidRPr="003B4CCE" w:rsidRDefault="00ED4AA9" w:rsidP="00ED4AA9">
      <w:pPr>
        <w:ind w:left="0" w:firstLine="0"/>
        <w:jc w:val="both"/>
        <w:rPr>
          <w:b/>
          <w:bCs/>
          <w:color w:val="000000"/>
          <w:szCs w:val="22"/>
        </w:rPr>
      </w:pPr>
      <w:r w:rsidRPr="000222E9">
        <w:rPr>
          <w:color w:val="000000"/>
          <w:szCs w:val="22"/>
          <w:lang w:val="cs"/>
        </w:rPr>
        <w:t>Podávejte 10–14 mg Ca</w:t>
      </w:r>
      <w:r w:rsidRPr="000222E9">
        <w:rPr>
          <w:color w:val="000000"/>
          <w:szCs w:val="22"/>
          <w:vertAlign w:val="superscript"/>
          <w:lang w:val="cs"/>
        </w:rPr>
        <w:t>2+</w:t>
      </w:r>
      <w:r w:rsidRPr="000222E9">
        <w:rPr>
          <w:color w:val="000000"/>
          <w:szCs w:val="22"/>
          <w:lang w:val="cs"/>
        </w:rPr>
        <w:t xml:space="preserve"> (0,26–0,34 mmol Ca</w:t>
      </w:r>
      <w:r w:rsidRPr="000222E9">
        <w:rPr>
          <w:color w:val="000000"/>
          <w:szCs w:val="22"/>
          <w:vertAlign w:val="superscript"/>
          <w:lang w:val="cs"/>
        </w:rPr>
        <w:t>2+</w:t>
      </w:r>
      <w:r w:rsidRPr="000222E9">
        <w:rPr>
          <w:color w:val="000000"/>
          <w:szCs w:val="22"/>
          <w:lang w:val="cs"/>
        </w:rPr>
        <w:t>) a 2,2–2,9 mg Mg2+ (0,09–0,12 mmol Mg</w:t>
      </w:r>
      <w:r w:rsidRPr="000222E9">
        <w:rPr>
          <w:color w:val="000000"/>
          <w:szCs w:val="22"/>
          <w:vertAlign w:val="superscript"/>
          <w:lang w:val="cs"/>
        </w:rPr>
        <w:t>2+</w:t>
      </w:r>
      <w:r w:rsidRPr="000222E9">
        <w:rPr>
          <w:color w:val="000000"/>
          <w:szCs w:val="22"/>
          <w:lang w:val="cs"/>
        </w:rPr>
        <w:t xml:space="preserve">) na jeden kg </w:t>
      </w:r>
      <w:r>
        <w:rPr>
          <w:color w:val="000000"/>
          <w:szCs w:val="22"/>
          <w:lang w:val="cs"/>
        </w:rPr>
        <w:t>živ</w:t>
      </w:r>
      <w:r w:rsidRPr="000222E9">
        <w:rPr>
          <w:color w:val="000000"/>
          <w:szCs w:val="22"/>
          <w:lang w:val="cs"/>
        </w:rPr>
        <w:t>é hmotnosti, což odpovídá 0,3–0,4 ml p</w:t>
      </w:r>
      <w:r>
        <w:rPr>
          <w:color w:val="000000"/>
          <w:szCs w:val="22"/>
          <w:lang w:val="cs"/>
        </w:rPr>
        <w:t>řípravku</w:t>
      </w:r>
      <w:r w:rsidRPr="000222E9">
        <w:rPr>
          <w:color w:val="000000"/>
          <w:szCs w:val="22"/>
          <w:lang w:val="cs"/>
        </w:rPr>
        <w:t xml:space="preserve"> na 1 kg </w:t>
      </w:r>
      <w:r>
        <w:rPr>
          <w:color w:val="000000"/>
          <w:szCs w:val="22"/>
          <w:lang w:val="cs"/>
        </w:rPr>
        <w:t>živ</w:t>
      </w:r>
      <w:r w:rsidRPr="00C66613">
        <w:rPr>
          <w:color w:val="000000"/>
          <w:szCs w:val="22"/>
          <w:lang w:val="cs"/>
        </w:rPr>
        <w:t>é hmotnosti.</w:t>
      </w:r>
    </w:p>
    <w:p w14:paraId="1989D604" w14:textId="3369F636" w:rsidR="00554D84" w:rsidRDefault="00554D84" w:rsidP="00D629B6"/>
    <w:p w14:paraId="031739BB" w14:textId="77777777" w:rsidR="00AE3E06" w:rsidRPr="00F30D3F" w:rsidRDefault="00AE3E06" w:rsidP="00D629B6"/>
    <w:p w14:paraId="57E42321" w14:textId="77777777" w:rsidR="00554D84" w:rsidRPr="00F30D3F" w:rsidRDefault="00554D84" w:rsidP="006B7975">
      <w:r w:rsidRPr="002E1B73">
        <w:rPr>
          <w:b/>
          <w:highlight w:val="lightGray"/>
        </w:rPr>
        <w:t>9.</w:t>
      </w:r>
      <w:r w:rsidRPr="00F30D3F">
        <w:rPr>
          <w:b/>
        </w:rPr>
        <w:tab/>
        <w:t>POKYNY PRO SPRÁVNÉ PODÁNÍ</w:t>
      </w:r>
    </w:p>
    <w:p w14:paraId="6624945C" w14:textId="77777777" w:rsidR="00554D84" w:rsidRPr="00F30D3F" w:rsidRDefault="00554D84" w:rsidP="006B7975"/>
    <w:p w14:paraId="6236F681" w14:textId="77777777" w:rsidR="00AE3E06" w:rsidRPr="00AF3E57" w:rsidRDefault="00AE3E06" w:rsidP="00AE3E06">
      <w:pPr>
        <w:rPr>
          <w:color w:val="000000"/>
          <w:lang w:val="cs"/>
        </w:rPr>
      </w:pPr>
      <w:r w:rsidRPr="00AE3E06">
        <w:t>Intravenózní infúze se musí provádět pomalu po dobu 20–30 minut.</w:t>
      </w:r>
      <w:r w:rsidRPr="00AF3E57">
        <w:rPr>
          <w:color w:val="000000"/>
          <w:lang w:val="cs"/>
        </w:rPr>
        <w:t xml:space="preserve"> Uvedené dávky jsou standardní. </w:t>
      </w:r>
    </w:p>
    <w:p w14:paraId="3507C23A" w14:textId="79F2AA38" w:rsidR="00AE3E06" w:rsidRPr="00AF3E57" w:rsidRDefault="00AE3E06" w:rsidP="00AE3E06">
      <w:pPr>
        <w:rPr>
          <w:color w:val="000000"/>
          <w:lang w:val="cs"/>
        </w:rPr>
      </w:pPr>
      <w:r w:rsidRPr="00AF3E57">
        <w:rPr>
          <w:color w:val="000000"/>
          <w:lang w:val="cs"/>
        </w:rPr>
        <w:t>Dávka by se měla vždy přizpůsobit stávajícímu deficitu a stavu oběhového systému.</w:t>
      </w:r>
    </w:p>
    <w:p w14:paraId="6D7927E4" w14:textId="5BFC5847" w:rsidR="00AE3E06" w:rsidRPr="00AF3E57" w:rsidRDefault="00AE3E06" w:rsidP="00AE3E06">
      <w:pPr>
        <w:rPr>
          <w:color w:val="000000"/>
          <w:lang w:val="cs"/>
        </w:rPr>
      </w:pPr>
    </w:p>
    <w:p w14:paraId="13B2D0AC" w14:textId="77777777" w:rsidR="00AE3E06" w:rsidRPr="00AF3E57" w:rsidRDefault="00AE3E06" w:rsidP="00AE3E06">
      <w:pPr>
        <w:rPr>
          <w:color w:val="000000"/>
          <w:lang w:val="cs"/>
        </w:rPr>
      </w:pPr>
      <w:r w:rsidRPr="00AF3E57">
        <w:rPr>
          <w:color w:val="000000"/>
          <w:lang w:val="cs"/>
        </w:rPr>
        <w:t xml:space="preserve">Druhou dávku lze podat nejdříve 12 hodin po prvním podání. Pokud hypokalcémie přetrvává, lze </w:t>
      </w:r>
    </w:p>
    <w:p w14:paraId="593228F9" w14:textId="56080D85" w:rsidR="00AE3E06" w:rsidRPr="00AF3E57" w:rsidRDefault="00AE3E06" w:rsidP="00AE3E06">
      <w:pPr>
        <w:rPr>
          <w:color w:val="000000"/>
          <w:lang w:val="cs"/>
        </w:rPr>
      </w:pPr>
      <w:r w:rsidRPr="00AF3E57">
        <w:rPr>
          <w:color w:val="000000"/>
          <w:lang w:val="cs"/>
        </w:rPr>
        <w:t>podání ve 24hodinových intervalech dvakrát zopakovat.</w:t>
      </w:r>
    </w:p>
    <w:p w14:paraId="0DFB91DE" w14:textId="0717B05E" w:rsidR="00AF3E57" w:rsidRPr="00AF3E57" w:rsidRDefault="00AF3E57" w:rsidP="00AE3E06">
      <w:pPr>
        <w:rPr>
          <w:color w:val="000000"/>
          <w:lang w:val="cs"/>
        </w:rPr>
      </w:pPr>
    </w:p>
    <w:p w14:paraId="544B5563" w14:textId="77777777" w:rsidR="00AF3E57" w:rsidRPr="00AF3E57" w:rsidRDefault="00AF3E57" w:rsidP="00AF3E57">
      <w:pPr>
        <w:rPr>
          <w:color w:val="000000"/>
          <w:lang w:val="cs"/>
        </w:rPr>
      </w:pPr>
      <w:r w:rsidRPr="00AF3E57">
        <w:rPr>
          <w:color w:val="000000"/>
          <w:lang w:val="cs"/>
        </w:rPr>
        <w:t xml:space="preserve">Během infúze je nutné kontrolovat srdeční frekvenci, rytmus a krevní oběh. V případě, že se objeví </w:t>
      </w:r>
    </w:p>
    <w:p w14:paraId="7ABB73A3" w14:textId="69179380" w:rsidR="00AF3E57" w:rsidRPr="00AF3E57" w:rsidRDefault="00AF3E57" w:rsidP="00AF3E57">
      <w:pPr>
        <w:rPr>
          <w:color w:val="000000"/>
          <w:highlight w:val="yellow"/>
          <w:lang w:val="cs"/>
        </w:rPr>
      </w:pPr>
      <w:r w:rsidRPr="00AF3E57">
        <w:rPr>
          <w:color w:val="000000"/>
          <w:lang w:val="cs"/>
        </w:rPr>
        <w:t>příznaky předávkování (srdeční arytmie, pokles krevního tlaku, neklid) se infúze musí ihned přerušit</w:t>
      </w:r>
      <w:r w:rsidRPr="00337E78">
        <w:rPr>
          <w:color w:val="000000"/>
          <w:lang w:val="cs"/>
        </w:rPr>
        <w:t>.</w:t>
      </w:r>
    </w:p>
    <w:p w14:paraId="099E93BF" w14:textId="3364245D" w:rsidR="005F12E7" w:rsidRPr="00F30D3F" w:rsidRDefault="005F12E7" w:rsidP="00AF3E57">
      <w:pPr>
        <w:ind w:left="0" w:firstLine="0"/>
      </w:pPr>
    </w:p>
    <w:p w14:paraId="2396B931" w14:textId="77777777" w:rsidR="00401AB8" w:rsidRPr="00F30D3F" w:rsidRDefault="00401AB8" w:rsidP="006B7975"/>
    <w:p w14:paraId="684B461E" w14:textId="77777777" w:rsidR="00554D84" w:rsidRPr="00F30D3F" w:rsidRDefault="00554D84" w:rsidP="006B7975">
      <w:r w:rsidRPr="002E1B73">
        <w:rPr>
          <w:b/>
          <w:highlight w:val="lightGray"/>
        </w:rPr>
        <w:t>10.</w:t>
      </w:r>
      <w:r w:rsidRPr="00F30D3F">
        <w:rPr>
          <w:b/>
        </w:rPr>
        <w:tab/>
        <w:t>OCHRANNÁ</w:t>
      </w:r>
      <w:r w:rsidR="00F45F6F" w:rsidRPr="00F30D3F">
        <w:rPr>
          <w:b/>
        </w:rPr>
        <w:t>(É)</w:t>
      </w:r>
      <w:r w:rsidRPr="00F30D3F">
        <w:rPr>
          <w:b/>
        </w:rPr>
        <w:t xml:space="preserve"> LHŮTA</w:t>
      </w:r>
      <w:r w:rsidR="00F45F6F" w:rsidRPr="00F30D3F">
        <w:rPr>
          <w:b/>
        </w:rPr>
        <w:t>(Y)</w:t>
      </w:r>
      <w:r w:rsidRPr="00F30D3F">
        <w:rPr>
          <w:b/>
        </w:rPr>
        <w:t xml:space="preserve"> </w:t>
      </w:r>
    </w:p>
    <w:p w14:paraId="2ACDEB61" w14:textId="655AD7F9" w:rsidR="00554D84" w:rsidRDefault="00554D84" w:rsidP="006B7975">
      <w:pPr>
        <w:rPr>
          <w:iCs/>
        </w:rPr>
      </w:pPr>
    </w:p>
    <w:p w14:paraId="70AFE5F9" w14:textId="77777777" w:rsidR="00AF3E57" w:rsidRPr="00AF3E57" w:rsidRDefault="00AF3E57" w:rsidP="00AF3E57">
      <w:pPr>
        <w:rPr>
          <w:iCs/>
        </w:rPr>
      </w:pPr>
      <w:r w:rsidRPr="00AF3E57">
        <w:rPr>
          <w:iCs/>
          <w:u w:val="single"/>
        </w:rPr>
        <w:t>Skot, prasata, ovce:</w:t>
      </w:r>
      <w:r w:rsidRPr="00AF3E57">
        <w:rPr>
          <w:iCs/>
        </w:rPr>
        <w:tab/>
      </w:r>
      <w:r w:rsidRPr="00AF3E57">
        <w:rPr>
          <w:iCs/>
        </w:rPr>
        <w:tab/>
      </w:r>
    </w:p>
    <w:p w14:paraId="27166437" w14:textId="1692A711" w:rsidR="00AF3E57" w:rsidRPr="00AF3E57" w:rsidRDefault="00AF3E57" w:rsidP="00AF3E57">
      <w:pPr>
        <w:rPr>
          <w:iCs/>
        </w:rPr>
      </w:pPr>
      <w:r w:rsidRPr="00AF3E57">
        <w:rPr>
          <w:iCs/>
        </w:rPr>
        <w:t xml:space="preserve">Maso: </w:t>
      </w:r>
      <w:r w:rsidR="00E07339">
        <w:rPr>
          <w:color w:val="000000"/>
          <w:szCs w:val="22"/>
        </w:rPr>
        <w:t>Bez ochranných lhůt.</w:t>
      </w:r>
    </w:p>
    <w:p w14:paraId="210F550B" w14:textId="77777777" w:rsidR="00AF3E57" w:rsidRPr="00AF3E57" w:rsidRDefault="00AF3E57" w:rsidP="00AF3E57">
      <w:pPr>
        <w:rPr>
          <w:iCs/>
        </w:rPr>
      </w:pPr>
    </w:p>
    <w:p w14:paraId="643E5046" w14:textId="77777777" w:rsidR="00AF3E57" w:rsidRPr="00AF3E57" w:rsidRDefault="00AF3E57" w:rsidP="00AF3E57">
      <w:pPr>
        <w:rPr>
          <w:iCs/>
        </w:rPr>
      </w:pPr>
      <w:r w:rsidRPr="00AF3E57">
        <w:rPr>
          <w:iCs/>
          <w:u w:val="single"/>
        </w:rPr>
        <w:t>Skot, ovce:</w:t>
      </w:r>
    </w:p>
    <w:p w14:paraId="459A7FFF" w14:textId="1320052E" w:rsidR="00AF3E57" w:rsidRPr="00AF3E57" w:rsidRDefault="00AF3E57" w:rsidP="00AF3E57">
      <w:pPr>
        <w:rPr>
          <w:iCs/>
        </w:rPr>
      </w:pPr>
      <w:r w:rsidRPr="00AF3E57">
        <w:rPr>
          <w:iCs/>
        </w:rPr>
        <w:t xml:space="preserve">Mléko: </w:t>
      </w:r>
      <w:r w:rsidR="00E07339">
        <w:rPr>
          <w:color w:val="000000"/>
          <w:szCs w:val="22"/>
        </w:rPr>
        <w:t>Bez ochranných lhůt.</w:t>
      </w:r>
    </w:p>
    <w:p w14:paraId="691C4691" w14:textId="77777777" w:rsidR="00AF3E57" w:rsidRDefault="00AF3E57" w:rsidP="006B7975">
      <w:pPr>
        <w:rPr>
          <w:iCs/>
        </w:rPr>
      </w:pPr>
    </w:p>
    <w:p w14:paraId="707F761F" w14:textId="77777777" w:rsidR="00554D84" w:rsidRPr="00F30D3F" w:rsidRDefault="00554D84" w:rsidP="00AF3E57">
      <w:pPr>
        <w:ind w:left="0" w:firstLine="0"/>
        <w:rPr>
          <w:iCs/>
        </w:rPr>
      </w:pPr>
    </w:p>
    <w:p w14:paraId="64E36D95" w14:textId="77777777" w:rsidR="00554D84" w:rsidRPr="00F30D3F" w:rsidRDefault="00554D84" w:rsidP="006B7975">
      <w:r w:rsidRPr="002E1B73">
        <w:rPr>
          <w:b/>
          <w:highlight w:val="lightGray"/>
        </w:rPr>
        <w:t>11.</w:t>
      </w:r>
      <w:r w:rsidRPr="00F30D3F">
        <w:rPr>
          <w:b/>
        </w:rPr>
        <w:tab/>
        <w:t>ZVLÁŠTNÍ OPATŘENÍ PRO UCHOVÁVÁNÍ</w:t>
      </w:r>
    </w:p>
    <w:p w14:paraId="1BD0D765" w14:textId="77777777" w:rsidR="007F41BC" w:rsidRDefault="007F41BC" w:rsidP="007F41BC">
      <w:pPr>
        <w:ind w:left="0" w:firstLine="0"/>
        <w:jc w:val="both"/>
      </w:pPr>
    </w:p>
    <w:p w14:paraId="3A3E1441" w14:textId="3211D828" w:rsidR="00AF3E57" w:rsidRDefault="00AF3E57" w:rsidP="00AF3E57">
      <w:pPr>
        <w:jc w:val="both"/>
      </w:pPr>
      <w:r w:rsidRPr="00C655A7">
        <w:t xml:space="preserve">Tento veterinární léčivý přípravek nevyžaduje žádné zvláštní podmínky </w:t>
      </w:r>
      <w:r w:rsidR="007F41BC">
        <w:t xml:space="preserve">pro </w:t>
      </w:r>
      <w:r w:rsidRPr="00C655A7">
        <w:t>uchovávání.</w:t>
      </w:r>
    </w:p>
    <w:p w14:paraId="1B8AE348" w14:textId="77777777" w:rsidR="00AF3E57" w:rsidRDefault="00AF3E57" w:rsidP="00AF3E57">
      <w:pPr>
        <w:ind w:left="0" w:firstLine="0"/>
        <w:jc w:val="both"/>
      </w:pPr>
    </w:p>
    <w:p w14:paraId="101BFCE9" w14:textId="77777777" w:rsidR="0026696D" w:rsidRDefault="0026696D" w:rsidP="0026696D">
      <w:pPr>
        <w:jc w:val="both"/>
      </w:pPr>
      <w:r w:rsidRPr="00F30D3F">
        <w:t>Uchovávat mimo dohled a dosah dětí.</w:t>
      </w:r>
    </w:p>
    <w:p w14:paraId="1CC225B4" w14:textId="77777777" w:rsidR="0026696D" w:rsidRPr="00F30D3F" w:rsidRDefault="0026696D" w:rsidP="0026696D">
      <w:pPr>
        <w:jc w:val="both"/>
      </w:pPr>
    </w:p>
    <w:p w14:paraId="7748D8C2" w14:textId="719E4F78" w:rsidR="00C655A7" w:rsidRDefault="00C655A7" w:rsidP="00532D5C">
      <w:pPr>
        <w:ind w:left="0" w:right="-2" w:firstLine="0"/>
        <w:jc w:val="both"/>
      </w:pPr>
      <w:r>
        <w:t>Nepoužívejte tento veterinární léčivý přípravek po uplynutí doby použitelnost uvedené na etiketě</w:t>
      </w:r>
      <w:r w:rsidR="007F41BC">
        <w:t xml:space="preserve"> po EXP</w:t>
      </w:r>
      <w:r>
        <w:t>.</w:t>
      </w:r>
    </w:p>
    <w:p w14:paraId="40B07267" w14:textId="77777777" w:rsidR="00554D84" w:rsidRDefault="00C655A7" w:rsidP="00532D5C">
      <w:pPr>
        <w:ind w:left="0" w:right="-2" w:firstLine="0"/>
        <w:jc w:val="both"/>
      </w:pPr>
      <w:r>
        <w:t>Doba použitelnosti končí posledním dnem v uvedeném měsíci.</w:t>
      </w:r>
    </w:p>
    <w:p w14:paraId="4C21B0DC" w14:textId="77777777" w:rsidR="00C655A7" w:rsidRDefault="00C655A7" w:rsidP="00532D5C">
      <w:pPr>
        <w:ind w:left="0" w:right="-2" w:firstLine="0"/>
        <w:jc w:val="both"/>
      </w:pPr>
    </w:p>
    <w:p w14:paraId="4D541D8F" w14:textId="77777777" w:rsidR="00AF3E57" w:rsidRPr="00337E78" w:rsidRDefault="00AF3E57" w:rsidP="00AF3E57">
      <w:pPr>
        <w:rPr>
          <w:color w:val="000000"/>
        </w:rPr>
      </w:pPr>
      <w:r w:rsidRPr="00AF3E57">
        <w:rPr>
          <w:color w:val="000000"/>
          <w:lang w:val="cs"/>
        </w:rPr>
        <w:t xml:space="preserve">Doba použitelnosti po prvním otevření </w:t>
      </w:r>
      <w:r w:rsidRPr="00AF3E57">
        <w:t>vnitřního</w:t>
      </w:r>
      <w:r w:rsidRPr="00AF3E57">
        <w:rPr>
          <w:color w:val="000000"/>
          <w:lang w:val="cs"/>
        </w:rPr>
        <w:t xml:space="preserve"> obalu: spotřebujte ihned.</w:t>
      </w:r>
    </w:p>
    <w:p w14:paraId="3D12C932" w14:textId="77777777" w:rsidR="00DF1B51" w:rsidRPr="00F30D3F" w:rsidRDefault="00DF1B51" w:rsidP="006B7975"/>
    <w:p w14:paraId="14BD4567" w14:textId="77777777" w:rsidR="00EA67B0" w:rsidRPr="00F30D3F" w:rsidRDefault="00EA67B0" w:rsidP="006B7975">
      <w:pPr>
        <w:ind w:left="0" w:right="-318" w:firstLine="0"/>
      </w:pPr>
    </w:p>
    <w:p w14:paraId="3C1C49C6" w14:textId="77777777" w:rsidR="00554D84" w:rsidRPr="00F30D3F" w:rsidRDefault="00554D84" w:rsidP="006B7975">
      <w:pPr>
        <w:rPr>
          <w:b/>
        </w:rPr>
      </w:pPr>
      <w:r w:rsidRPr="002E1B73">
        <w:rPr>
          <w:b/>
          <w:highlight w:val="lightGray"/>
        </w:rPr>
        <w:t>12.</w:t>
      </w:r>
      <w:r w:rsidRPr="00F30D3F">
        <w:rPr>
          <w:b/>
        </w:rPr>
        <w:tab/>
        <w:t>ZVLÁŠTNÍ UPOZORNĚNÍ</w:t>
      </w:r>
    </w:p>
    <w:p w14:paraId="2447041A" w14:textId="77777777" w:rsidR="00554D84" w:rsidRPr="00F30D3F" w:rsidRDefault="00554D84" w:rsidP="006B7975"/>
    <w:p w14:paraId="537524BF" w14:textId="77777777" w:rsidR="00DF1B51" w:rsidRPr="00532D5C" w:rsidRDefault="00DF1B51" w:rsidP="00532D5C">
      <w:pPr>
        <w:jc w:val="both"/>
        <w:rPr>
          <w:szCs w:val="22"/>
        </w:rPr>
      </w:pPr>
      <w:r w:rsidRPr="00532D5C">
        <w:rPr>
          <w:szCs w:val="22"/>
          <w:u w:val="single"/>
        </w:rPr>
        <w:t>Zvláštní u</w:t>
      </w:r>
      <w:r w:rsidR="00C655A7" w:rsidRPr="00532D5C">
        <w:rPr>
          <w:szCs w:val="22"/>
          <w:u w:val="single"/>
        </w:rPr>
        <w:t>pozornění pro každý cílový druh</w:t>
      </w:r>
      <w:r w:rsidRPr="00532D5C">
        <w:rPr>
          <w:szCs w:val="22"/>
          <w:u w:val="single"/>
        </w:rPr>
        <w:t>:</w:t>
      </w:r>
    </w:p>
    <w:p w14:paraId="6CC81898" w14:textId="04255A92" w:rsidR="00AF3E57" w:rsidRPr="00AF3E57" w:rsidRDefault="00AF3E57" w:rsidP="00AF3E57">
      <w:pPr>
        <w:jc w:val="both"/>
        <w:rPr>
          <w:szCs w:val="22"/>
        </w:rPr>
      </w:pPr>
      <w:r w:rsidRPr="00AF3E57">
        <w:rPr>
          <w:szCs w:val="22"/>
          <w:lang w:val="cs"/>
        </w:rPr>
        <w:t xml:space="preserve">V případě akutní hypomagnezémie může být nezbytné podat roztok s vyšší koncentrací </w:t>
      </w:r>
    </w:p>
    <w:p w14:paraId="536460C6" w14:textId="77777777" w:rsidR="00AF3E57" w:rsidRPr="00AF3E57" w:rsidRDefault="00AF3E57" w:rsidP="00AF3E57">
      <w:pPr>
        <w:jc w:val="both"/>
        <w:rPr>
          <w:szCs w:val="22"/>
        </w:rPr>
      </w:pPr>
      <w:r w:rsidRPr="00AF3E57">
        <w:rPr>
          <w:szCs w:val="22"/>
          <w:lang w:val="cs"/>
        </w:rPr>
        <w:t>hořčíku.</w:t>
      </w:r>
    </w:p>
    <w:p w14:paraId="02D17768" w14:textId="77777777" w:rsidR="00C655A7" w:rsidRPr="00532D5C" w:rsidRDefault="00C655A7" w:rsidP="00532D5C">
      <w:pPr>
        <w:jc w:val="both"/>
        <w:rPr>
          <w:szCs w:val="22"/>
        </w:rPr>
      </w:pPr>
    </w:p>
    <w:p w14:paraId="38DE7CB1" w14:textId="77777777" w:rsidR="00DF1B51" w:rsidRPr="00532D5C" w:rsidRDefault="00DF1B51" w:rsidP="00532D5C">
      <w:pPr>
        <w:jc w:val="both"/>
        <w:rPr>
          <w:szCs w:val="22"/>
          <w:u w:val="single"/>
        </w:rPr>
      </w:pPr>
      <w:r w:rsidRPr="00532D5C">
        <w:rPr>
          <w:szCs w:val="22"/>
          <w:u w:val="single"/>
        </w:rPr>
        <w:t>Zvláštní opatření pro použití u zvířat:</w:t>
      </w:r>
    </w:p>
    <w:p w14:paraId="4A2414CE" w14:textId="77777777" w:rsidR="00AF3E57" w:rsidRPr="00AF3E57" w:rsidRDefault="00AF3E57" w:rsidP="00AF3E57">
      <w:pPr>
        <w:rPr>
          <w:color w:val="000000"/>
        </w:rPr>
      </w:pPr>
      <w:r w:rsidRPr="00AF3E57">
        <w:rPr>
          <w:color w:val="000000"/>
          <w:lang w:val="cs"/>
        </w:rPr>
        <w:t xml:space="preserve">Tento léčivý přípravek se musí podávat pouze pomalu intravenózně. </w:t>
      </w:r>
    </w:p>
    <w:p w14:paraId="653F0165" w14:textId="77777777" w:rsidR="00AF3E57" w:rsidRPr="00AF3E57" w:rsidRDefault="00AF3E57" w:rsidP="00AF3E57">
      <w:pPr>
        <w:rPr>
          <w:color w:val="000000"/>
        </w:rPr>
      </w:pPr>
      <w:r w:rsidRPr="00AF3E57">
        <w:rPr>
          <w:color w:val="000000"/>
          <w:lang w:val="cs"/>
        </w:rPr>
        <w:t>Před podáním by se měl roztok zahřát na tělesnou teplotu.</w:t>
      </w:r>
    </w:p>
    <w:p w14:paraId="28428EDF" w14:textId="77777777" w:rsidR="00AF3E57" w:rsidRPr="00AF3E57" w:rsidRDefault="00AF3E57" w:rsidP="00AF3E57">
      <w:pPr>
        <w:rPr>
          <w:color w:val="000000"/>
          <w:lang w:val="cs"/>
        </w:rPr>
      </w:pPr>
      <w:r w:rsidRPr="00AF3E57">
        <w:rPr>
          <w:color w:val="000000"/>
          <w:lang w:val="cs"/>
        </w:rPr>
        <w:t xml:space="preserve">Během infúze je nutné kontrolovat srdeční frekvenci, rytmus a krevní oběh. V případě, že se objeví </w:t>
      </w:r>
    </w:p>
    <w:p w14:paraId="5E3BB8D1" w14:textId="1C6FD8C1" w:rsidR="00AF3E57" w:rsidRPr="00AF3E57" w:rsidRDefault="00AF3E57" w:rsidP="00AF3E57">
      <w:pPr>
        <w:rPr>
          <w:color w:val="000000"/>
          <w:lang w:val="cs"/>
        </w:rPr>
      </w:pPr>
      <w:r w:rsidRPr="00AF3E57">
        <w:rPr>
          <w:color w:val="000000"/>
          <w:lang w:val="cs"/>
        </w:rPr>
        <w:t>příznaky předávkování (srdeční arytmie, pokles krevního tlaku, neklid) se infúze musí ihned přerušit.</w:t>
      </w:r>
    </w:p>
    <w:p w14:paraId="7784A6CD" w14:textId="77777777" w:rsidR="00DF1B51" w:rsidRPr="00532D5C" w:rsidRDefault="00DF1B51" w:rsidP="00532D5C">
      <w:pPr>
        <w:jc w:val="both"/>
        <w:rPr>
          <w:szCs w:val="22"/>
        </w:rPr>
      </w:pPr>
    </w:p>
    <w:p w14:paraId="37000960" w14:textId="77777777" w:rsidR="00DF1B51" w:rsidRPr="00532D5C" w:rsidRDefault="00DF1B51" w:rsidP="00696B0E">
      <w:pPr>
        <w:keepNext/>
        <w:jc w:val="both"/>
        <w:rPr>
          <w:szCs w:val="22"/>
        </w:rPr>
      </w:pPr>
      <w:r w:rsidRPr="00532D5C">
        <w:rPr>
          <w:szCs w:val="22"/>
          <w:u w:val="single"/>
        </w:rPr>
        <w:t>Zvláštní opatření určené osobám, které podávají veterinární léčivý přípravek zvířatům</w:t>
      </w:r>
      <w:r w:rsidR="00C655A7" w:rsidRPr="00532D5C">
        <w:rPr>
          <w:szCs w:val="22"/>
        </w:rPr>
        <w:t>:</w:t>
      </w:r>
    </w:p>
    <w:p w14:paraId="265930C3" w14:textId="77777777" w:rsidR="00790ED5" w:rsidRPr="00790ED5" w:rsidRDefault="00790ED5" w:rsidP="00790ED5">
      <w:pPr>
        <w:ind w:left="0" w:firstLine="0"/>
        <w:jc w:val="both"/>
        <w:rPr>
          <w:szCs w:val="22"/>
        </w:rPr>
      </w:pPr>
      <w:r w:rsidRPr="00790ED5">
        <w:rPr>
          <w:szCs w:val="22"/>
          <w:lang w:val="cs"/>
        </w:rPr>
        <w:t xml:space="preserve">Tento veterinární léčivý přípravek obsahuje kyselinu boritou a neměly by jej podávat těhotné </w:t>
      </w:r>
    </w:p>
    <w:p w14:paraId="46B0672E" w14:textId="63EB5415" w:rsidR="00790ED5" w:rsidRPr="00790ED5" w:rsidRDefault="00790ED5" w:rsidP="00790ED5">
      <w:pPr>
        <w:ind w:left="0" w:firstLine="0"/>
        <w:jc w:val="both"/>
        <w:rPr>
          <w:szCs w:val="22"/>
        </w:rPr>
      </w:pPr>
      <w:r w:rsidRPr="00790ED5">
        <w:rPr>
          <w:szCs w:val="22"/>
          <w:lang w:val="cs"/>
        </w:rPr>
        <w:t>ženy, uživatelky v</w:t>
      </w:r>
      <w:r w:rsidR="00144B31">
        <w:rPr>
          <w:szCs w:val="22"/>
          <w:lang w:val="cs"/>
        </w:rPr>
        <w:t xml:space="preserve"> plodném </w:t>
      </w:r>
      <w:r w:rsidRPr="00790ED5">
        <w:rPr>
          <w:szCs w:val="22"/>
          <w:lang w:val="cs"/>
        </w:rPr>
        <w:t>věku a uživatelky, které se snaží otěhotnět.</w:t>
      </w:r>
    </w:p>
    <w:p w14:paraId="6DD6C24D" w14:textId="77777777" w:rsidR="00144B31" w:rsidRDefault="00144B31" w:rsidP="00144B31">
      <w:pPr>
        <w:rPr>
          <w:color w:val="000000"/>
        </w:rPr>
      </w:pPr>
      <w:r w:rsidRPr="0011220F">
        <w:rPr>
          <w:color w:val="000000"/>
        </w:rPr>
        <w:t xml:space="preserve">V případě náhodného sebepoškození injekčně aplikovaným přípravkem, vyhledejte ihned lékařskou </w:t>
      </w:r>
    </w:p>
    <w:p w14:paraId="62E8F3B0" w14:textId="77777777" w:rsidR="00144B31" w:rsidRPr="00337E78" w:rsidRDefault="00144B31" w:rsidP="00144B31">
      <w:pPr>
        <w:rPr>
          <w:color w:val="000000"/>
        </w:rPr>
      </w:pPr>
      <w:r w:rsidRPr="0011220F">
        <w:rPr>
          <w:color w:val="000000"/>
        </w:rPr>
        <w:t>pomoc a ukažte příbalovou informaci nebo etiketu praktickému lékaři.</w:t>
      </w:r>
    </w:p>
    <w:p w14:paraId="0015D88E" w14:textId="5605A7E2" w:rsidR="00790ED5" w:rsidRPr="00790ED5" w:rsidRDefault="00790ED5" w:rsidP="00790ED5">
      <w:pPr>
        <w:ind w:left="0" w:firstLine="0"/>
        <w:jc w:val="both"/>
        <w:rPr>
          <w:szCs w:val="22"/>
        </w:rPr>
      </w:pPr>
      <w:r w:rsidRPr="00790ED5">
        <w:rPr>
          <w:szCs w:val="22"/>
          <w:lang w:val="cs"/>
        </w:rPr>
        <w:t>Tento p</w:t>
      </w:r>
      <w:r w:rsidR="004C2A75">
        <w:rPr>
          <w:szCs w:val="22"/>
          <w:lang w:val="cs"/>
        </w:rPr>
        <w:t>řípravek</w:t>
      </w:r>
      <w:r w:rsidRPr="00790ED5">
        <w:rPr>
          <w:szCs w:val="22"/>
          <w:lang w:val="cs"/>
        </w:rPr>
        <w:t xml:space="preserve"> může způsobit mírné podráždění kůže a očí v důsledku nízkého pH jeho složení.</w:t>
      </w:r>
    </w:p>
    <w:p w14:paraId="61217588" w14:textId="77777777" w:rsidR="00790ED5" w:rsidRPr="00790ED5" w:rsidRDefault="00790ED5" w:rsidP="00790ED5">
      <w:pPr>
        <w:ind w:left="0" w:firstLine="0"/>
        <w:jc w:val="both"/>
        <w:rPr>
          <w:szCs w:val="22"/>
        </w:rPr>
      </w:pPr>
      <w:r w:rsidRPr="00790ED5">
        <w:rPr>
          <w:szCs w:val="22"/>
        </w:rPr>
        <w:t xml:space="preserve">Zabraňte potřísnění kůže a očí. </w:t>
      </w:r>
    </w:p>
    <w:p w14:paraId="5BA6DA37" w14:textId="77777777" w:rsidR="00790ED5" w:rsidRPr="00790ED5" w:rsidRDefault="00790ED5" w:rsidP="00790ED5">
      <w:pPr>
        <w:ind w:left="0" w:firstLine="0"/>
        <w:jc w:val="both"/>
        <w:rPr>
          <w:szCs w:val="22"/>
        </w:rPr>
      </w:pPr>
      <w:r w:rsidRPr="00790ED5">
        <w:rPr>
          <w:szCs w:val="22"/>
          <w:lang w:val="cs"/>
        </w:rPr>
        <w:t xml:space="preserve">Používejte ochranné rukavice a brýle. </w:t>
      </w:r>
    </w:p>
    <w:p w14:paraId="2B0E6877" w14:textId="3A6D64F5" w:rsidR="00790ED5" w:rsidRPr="00790ED5" w:rsidRDefault="00790ED5" w:rsidP="00790ED5">
      <w:pPr>
        <w:ind w:left="0" w:firstLine="0"/>
        <w:jc w:val="both"/>
        <w:rPr>
          <w:szCs w:val="22"/>
        </w:rPr>
      </w:pPr>
      <w:r w:rsidRPr="00790ED5">
        <w:rPr>
          <w:szCs w:val="22"/>
          <w:lang w:val="cs"/>
        </w:rPr>
        <w:t>Při kontaktu p</w:t>
      </w:r>
      <w:r w:rsidR="004C2A75">
        <w:rPr>
          <w:szCs w:val="22"/>
          <w:lang w:val="cs"/>
        </w:rPr>
        <w:t>řípravku</w:t>
      </w:r>
      <w:r w:rsidRPr="00790ED5">
        <w:rPr>
          <w:szCs w:val="22"/>
          <w:lang w:val="cs"/>
        </w:rPr>
        <w:t xml:space="preserve"> s pokožkou nebo očima je </w:t>
      </w:r>
      <w:r w:rsidR="004C2A75">
        <w:rPr>
          <w:szCs w:val="22"/>
          <w:lang w:val="cs"/>
        </w:rPr>
        <w:t>ihned</w:t>
      </w:r>
      <w:r w:rsidRPr="00790ED5">
        <w:rPr>
          <w:szCs w:val="22"/>
          <w:lang w:val="cs"/>
        </w:rPr>
        <w:t xml:space="preserve"> opláchněte vodou.</w:t>
      </w:r>
    </w:p>
    <w:p w14:paraId="498D8336" w14:textId="77777777" w:rsidR="00AF3E57" w:rsidRPr="00532D5C" w:rsidRDefault="00AF3E57" w:rsidP="00532D5C">
      <w:pPr>
        <w:ind w:left="0" w:firstLine="0"/>
        <w:jc w:val="both"/>
        <w:rPr>
          <w:szCs w:val="22"/>
        </w:rPr>
      </w:pPr>
    </w:p>
    <w:p w14:paraId="73C92E21" w14:textId="77777777" w:rsidR="00F45F6F" w:rsidRPr="00532D5C" w:rsidRDefault="00F45F6F" w:rsidP="00532D5C">
      <w:pPr>
        <w:jc w:val="both"/>
        <w:rPr>
          <w:szCs w:val="22"/>
        </w:rPr>
      </w:pPr>
      <w:r w:rsidRPr="00532D5C">
        <w:rPr>
          <w:szCs w:val="22"/>
          <w:u w:val="single"/>
        </w:rPr>
        <w:t>Březost a laktace</w:t>
      </w:r>
      <w:r w:rsidR="00C655A7" w:rsidRPr="00532D5C">
        <w:rPr>
          <w:szCs w:val="22"/>
        </w:rPr>
        <w:t>:</w:t>
      </w:r>
    </w:p>
    <w:p w14:paraId="13B7C05A" w14:textId="77777777" w:rsidR="00790ED5" w:rsidRDefault="00790ED5" w:rsidP="00790ED5">
      <w:pPr>
        <w:jc w:val="both"/>
        <w:rPr>
          <w:szCs w:val="22"/>
        </w:rPr>
      </w:pPr>
      <w:r w:rsidRPr="00790ED5">
        <w:rPr>
          <w:szCs w:val="22"/>
        </w:rPr>
        <w:t>Nebyla stanovena bezpečnost veterinárního léčivého přípravku pro použití během březosti a laktace.</w:t>
      </w:r>
      <w:r>
        <w:rPr>
          <w:szCs w:val="22"/>
        </w:rPr>
        <w:t xml:space="preserve"> </w:t>
      </w:r>
    </w:p>
    <w:p w14:paraId="4B05112F" w14:textId="11C6CF7E" w:rsidR="00790ED5" w:rsidRPr="00790ED5" w:rsidRDefault="00790ED5" w:rsidP="00790ED5">
      <w:pPr>
        <w:jc w:val="both"/>
        <w:rPr>
          <w:szCs w:val="22"/>
        </w:rPr>
      </w:pPr>
      <w:r w:rsidRPr="00790ED5">
        <w:rPr>
          <w:szCs w:val="22"/>
        </w:rPr>
        <w:t>Použít pouze po zvážení</w:t>
      </w:r>
      <w:r w:rsidR="00D121DE">
        <w:rPr>
          <w:szCs w:val="22"/>
        </w:rPr>
        <w:t xml:space="preserve"> poměru </w:t>
      </w:r>
      <w:r w:rsidRPr="00790ED5">
        <w:rPr>
          <w:szCs w:val="22"/>
        </w:rPr>
        <w:t>terapeutického prospěchu a rizika příslušným veterinárním lékařem.</w:t>
      </w:r>
    </w:p>
    <w:p w14:paraId="00062967" w14:textId="77777777" w:rsidR="00532D5C" w:rsidRPr="00532D5C" w:rsidRDefault="00532D5C" w:rsidP="00532D5C">
      <w:pPr>
        <w:jc w:val="both"/>
        <w:rPr>
          <w:szCs w:val="22"/>
        </w:rPr>
      </w:pPr>
    </w:p>
    <w:p w14:paraId="51C12C1F" w14:textId="77777777" w:rsidR="00DF1B51" w:rsidRPr="00532D5C" w:rsidRDefault="00A121C4" w:rsidP="00532D5C">
      <w:pPr>
        <w:jc w:val="both"/>
        <w:rPr>
          <w:szCs w:val="22"/>
        </w:rPr>
      </w:pPr>
      <w:r w:rsidRPr="00532D5C">
        <w:rPr>
          <w:szCs w:val="22"/>
          <w:u w:val="single"/>
        </w:rPr>
        <w:t>Interakce s dalšími léčivými přípravky a další formy interakce</w:t>
      </w:r>
      <w:r w:rsidR="00DF1B51" w:rsidRPr="00532D5C">
        <w:rPr>
          <w:szCs w:val="22"/>
          <w:u w:val="single"/>
        </w:rPr>
        <w:t>:</w:t>
      </w:r>
    </w:p>
    <w:p w14:paraId="4E7257C7" w14:textId="77777777" w:rsidR="00790ED5" w:rsidRPr="00337E78" w:rsidRDefault="00790ED5" w:rsidP="00790ED5">
      <w:pPr>
        <w:rPr>
          <w:color w:val="000000"/>
          <w:szCs w:val="22"/>
        </w:rPr>
      </w:pPr>
      <w:r w:rsidRPr="00337E78">
        <w:rPr>
          <w:color w:val="000000"/>
          <w:szCs w:val="22"/>
        </w:rPr>
        <w:t>Vápník zvyšuje účinek srdečních glykosidů.</w:t>
      </w:r>
    </w:p>
    <w:p w14:paraId="139E46FD" w14:textId="650F77F6" w:rsidR="00790ED5" w:rsidRPr="00337E78" w:rsidRDefault="00790ED5" w:rsidP="00790ED5">
      <w:pPr>
        <w:ind w:left="0" w:firstLine="0"/>
        <w:rPr>
          <w:color w:val="000000"/>
          <w:szCs w:val="22"/>
        </w:rPr>
      </w:pPr>
      <w:r w:rsidRPr="00337E78">
        <w:rPr>
          <w:color w:val="000000"/>
          <w:szCs w:val="22"/>
        </w:rPr>
        <w:t xml:space="preserve">Vápníkem se zesilují kardiální účinky </w:t>
      </w:r>
      <w:r w:rsidRPr="002C6557">
        <w:rPr>
          <w:lang w:val="en-GB"/>
        </w:rPr>
        <w:t>β</w:t>
      </w:r>
      <w:r w:rsidRPr="00337E78">
        <w:rPr>
          <w:color w:val="000000"/>
          <w:szCs w:val="22"/>
        </w:rPr>
        <w:t>-adrenergik a methylxantinů.</w:t>
      </w:r>
    </w:p>
    <w:p w14:paraId="3A1603AB" w14:textId="77777777" w:rsidR="00790ED5" w:rsidRPr="00337E78" w:rsidRDefault="00790ED5" w:rsidP="00790ED5">
      <w:pPr>
        <w:rPr>
          <w:color w:val="000000"/>
          <w:szCs w:val="22"/>
        </w:rPr>
      </w:pPr>
      <w:r w:rsidRPr="00337E78">
        <w:rPr>
          <w:color w:val="000000"/>
          <w:szCs w:val="22"/>
        </w:rPr>
        <w:t>Svým antagonismem s vitamíny D glukokortikoidy zvyšují vylučování vápníku.</w:t>
      </w:r>
    </w:p>
    <w:p w14:paraId="6715CDA4" w14:textId="77777777" w:rsidR="00532D5C" w:rsidRPr="00532D5C" w:rsidRDefault="00532D5C" w:rsidP="00532D5C">
      <w:pPr>
        <w:jc w:val="both"/>
        <w:rPr>
          <w:szCs w:val="22"/>
        </w:rPr>
      </w:pPr>
    </w:p>
    <w:p w14:paraId="479B3ECB" w14:textId="77777777" w:rsidR="00DF1B51" w:rsidRPr="00532D5C" w:rsidRDefault="00A121C4" w:rsidP="00532D5C">
      <w:pPr>
        <w:jc w:val="both"/>
        <w:rPr>
          <w:szCs w:val="22"/>
        </w:rPr>
      </w:pPr>
      <w:r w:rsidRPr="00532D5C">
        <w:rPr>
          <w:szCs w:val="22"/>
          <w:u w:val="single"/>
        </w:rPr>
        <w:t>Předávkování (symptomy, první pomoc, antidota)</w:t>
      </w:r>
      <w:r w:rsidR="00C655A7" w:rsidRPr="00532D5C">
        <w:rPr>
          <w:szCs w:val="22"/>
        </w:rPr>
        <w:t>:</w:t>
      </w:r>
    </w:p>
    <w:p w14:paraId="0BE790C3" w14:textId="77777777" w:rsidR="00790ED5" w:rsidRPr="00790ED5" w:rsidRDefault="00790ED5" w:rsidP="00790ED5">
      <w:pPr>
        <w:jc w:val="both"/>
        <w:rPr>
          <w:bCs/>
          <w:color w:val="000000"/>
          <w:szCs w:val="22"/>
        </w:rPr>
      </w:pPr>
      <w:r w:rsidRPr="00790ED5">
        <w:rPr>
          <w:bCs/>
          <w:color w:val="000000"/>
          <w:szCs w:val="22"/>
          <w:lang w:val="cs"/>
        </w:rPr>
        <w:t xml:space="preserve">V případě, že je intravenózní podání příliš rychlé, může dojít k hyperkalcémii a/nebo </w:t>
      </w:r>
    </w:p>
    <w:p w14:paraId="4DA93E90" w14:textId="77777777" w:rsidR="00790ED5" w:rsidRPr="00790ED5" w:rsidRDefault="00790ED5" w:rsidP="00790ED5">
      <w:pPr>
        <w:jc w:val="both"/>
        <w:rPr>
          <w:bCs/>
          <w:color w:val="000000"/>
          <w:szCs w:val="22"/>
        </w:rPr>
      </w:pPr>
      <w:r w:rsidRPr="00790ED5">
        <w:rPr>
          <w:bCs/>
          <w:color w:val="000000"/>
          <w:szCs w:val="22"/>
          <w:lang w:val="cs"/>
        </w:rPr>
        <w:t xml:space="preserve">hypermagnesémii s kardiotoxickými příznaky, jako je počáteční bradykardie s následnou </w:t>
      </w:r>
    </w:p>
    <w:p w14:paraId="06468BFC" w14:textId="77777777" w:rsidR="00790ED5" w:rsidRPr="00790ED5" w:rsidRDefault="00790ED5" w:rsidP="00790ED5">
      <w:pPr>
        <w:jc w:val="both"/>
        <w:rPr>
          <w:bCs/>
          <w:color w:val="000000"/>
          <w:szCs w:val="22"/>
          <w:lang w:val="cs"/>
        </w:rPr>
      </w:pPr>
      <w:r w:rsidRPr="00790ED5">
        <w:rPr>
          <w:bCs/>
          <w:color w:val="000000"/>
          <w:szCs w:val="22"/>
          <w:lang w:val="cs"/>
        </w:rPr>
        <w:t xml:space="preserve">tachykardií, srdeční arytmií a v závažných případech může dojít ke komorové fibrilaci se </w:t>
      </w:r>
    </w:p>
    <w:p w14:paraId="42EC1E31" w14:textId="313BA3D9" w:rsidR="00790ED5" w:rsidRPr="00790ED5" w:rsidRDefault="00790ED5" w:rsidP="00790ED5">
      <w:pPr>
        <w:jc w:val="both"/>
        <w:rPr>
          <w:bCs/>
          <w:color w:val="000000"/>
          <w:szCs w:val="22"/>
        </w:rPr>
      </w:pPr>
      <w:r w:rsidRPr="00790ED5">
        <w:rPr>
          <w:bCs/>
          <w:color w:val="000000"/>
          <w:szCs w:val="22"/>
          <w:lang w:val="cs"/>
        </w:rPr>
        <w:lastRenderedPageBreak/>
        <w:t>srdeční</w:t>
      </w:r>
      <w:r w:rsidRPr="00790ED5">
        <w:rPr>
          <w:bCs/>
          <w:color w:val="000000"/>
          <w:szCs w:val="22"/>
        </w:rPr>
        <w:t xml:space="preserve"> </w:t>
      </w:r>
      <w:r w:rsidRPr="00790ED5">
        <w:rPr>
          <w:bCs/>
          <w:color w:val="000000"/>
          <w:szCs w:val="22"/>
          <w:lang w:val="cs"/>
        </w:rPr>
        <w:t>zástavou.</w:t>
      </w:r>
    </w:p>
    <w:p w14:paraId="774F1756" w14:textId="77777777" w:rsidR="00790ED5" w:rsidRPr="00790ED5" w:rsidRDefault="00790ED5" w:rsidP="00790ED5">
      <w:pPr>
        <w:jc w:val="both"/>
        <w:rPr>
          <w:color w:val="000000"/>
          <w:szCs w:val="22"/>
        </w:rPr>
      </w:pPr>
      <w:r w:rsidRPr="00790ED5">
        <w:rPr>
          <w:color w:val="000000"/>
          <w:szCs w:val="22"/>
        </w:rPr>
        <w:t xml:space="preserve">Za další hyperkalcémické příznaky se považují: motorická slabost, svalový třes, zvýšená </w:t>
      </w:r>
    </w:p>
    <w:p w14:paraId="303F40C5" w14:textId="77777777" w:rsidR="00790ED5" w:rsidRPr="00790ED5" w:rsidRDefault="00790ED5" w:rsidP="00790ED5">
      <w:pPr>
        <w:jc w:val="both"/>
        <w:rPr>
          <w:color w:val="000000"/>
          <w:szCs w:val="22"/>
        </w:rPr>
      </w:pPr>
      <w:r w:rsidRPr="00790ED5">
        <w:rPr>
          <w:color w:val="000000"/>
          <w:szCs w:val="22"/>
        </w:rPr>
        <w:t>dráždivost, neklid, zvýšená transpirace, polyurie, pokles krevního tlaku, deprese nebo kóma.</w:t>
      </w:r>
    </w:p>
    <w:p w14:paraId="05A4893B" w14:textId="77777777" w:rsidR="00790ED5" w:rsidRPr="00790ED5" w:rsidRDefault="00790ED5" w:rsidP="00790ED5">
      <w:pPr>
        <w:jc w:val="both"/>
        <w:rPr>
          <w:color w:val="000000"/>
          <w:szCs w:val="22"/>
        </w:rPr>
      </w:pPr>
      <w:r w:rsidRPr="00790ED5">
        <w:rPr>
          <w:color w:val="000000"/>
          <w:szCs w:val="22"/>
          <w:lang w:val="cs"/>
        </w:rPr>
        <w:t xml:space="preserve">Příznaky hyperkalcémie mohou přetrvávat 6–10 hodin po infúzi a nesmí být </w:t>
      </w:r>
    </w:p>
    <w:p w14:paraId="143150BD" w14:textId="77777777" w:rsidR="00790ED5" w:rsidRPr="00790ED5" w:rsidRDefault="00790ED5" w:rsidP="00790ED5">
      <w:pPr>
        <w:jc w:val="both"/>
        <w:rPr>
          <w:color w:val="000000"/>
          <w:szCs w:val="22"/>
        </w:rPr>
      </w:pPr>
      <w:r w:rsidRPr="00790ED5">
        <w:rPr>
          <w:color w:val="000000"/>
          <w:szCs w:val="22"/>
          <w:lang w:val="cs"/>
        </w:rPr>
        <w:t>nesprávně diagnostikovány jako příznaky hypokalcémie.</w:t>
      </w:r>
    </w:p>
    <w:p w14:paraId="2F1EB93E" w14:textId="77777777" w:rsidR="00532D5C" w:rsidRPr="00532D5C" w:rsidRDefault="00532D5C" w:rsidP="00532D5C">
      <w:pPr>
        <w:ind w:left="0" w:firstLine="0"/>
        <w:jc w:val="both"/>
        <w:rPr>
          <w:b/>
          <w:szCs w:val="22"/>
        </w:rPr>
      </w:pPr>
    </w:p>
    <w:p w14:paraId="2AABD3C3" w14:textId="77777777" w:rsidR="00DF1B51" w:rsidRPr="00532D5C" w:rsidRDefault="00A121C4" w:rsidP="00532D5C">
      <w:pPr>
        <w:jc w:val="both"/>
        <w:rPr>
          <w:szCs w:val="22"/>
        </w:rPr>
      </w:pPr>
      <w:r w:rsidRPr="00532D5C">
        <w:rPr>
          <w:szCs w:val="22"/>
          <w:u w:val="single"/>
        </w:rPr>
        <w:t>Inkompatibility</w:t>
      </w:r>
      <w:r w:rsidR="00C655A7" w:rsidRPr="00532D5C">
        <w:rPr>
          <w:szCs w:val="22"/>
        </w:rPr>
        <w:t>:</w:t>
      </w:r>
    </w:p>
    <w:p w14:paraId="1663CD6C" w14:textId="0DCC654E" w:rsidR="00790ED5" w:rsidRPr="00790ED5" w:rsidRDefault="00790ED5" w:rsidP="00790ED5">
      <w:pPr>
        <w:ind w:left="0" w:firstLine="0"/>
        <w:jc w:val="both"/>
        <w:rPr>
          <w:szCs w:val="22"/>
        </w:rPr>
      </w:pPr>
      <w:r w:rsidRPr="00790ED5">
        <w:rPr>
          <w:szCs w:val="22"/>
        </w:rPr>
        <w:t>Studie kompatibility nejsou k dispozici, a proto tento veterinární léčivý přípravek nesmí být mísen s žádnými dalšími veterinárními léčivými přípravky.</w:t>
      </w:r>
    </w:p>
    <w:p w14:paraId="45AD581E" w14:textId="77777777" w:rsidR="00554D84" w:rsidRDefault="00554D84" w:rsidP="006B7975"/>
    <w:p w14:paraId="194E19CF" w14:textId="77777777" w:rsidR="00AE31E8" w:rsidRPr="00F30D3F" w:rsidRDefault="00AE31E8" w:rsidP="006B7975"/>
    <w:p w14:paraId="261A541D" w14:textId="77777777" w:rsidR="00554D84" w:rsidRPr="00F30D3F" w:rsidRDefault="00554D84" w:rsidP="006B7975">
      <w:pPr>
        <w:rPr>
          <w:b/>
        </w:rPr>
      </w:pPr>
      <w:r w:rsidRPr="002E1B73">
        <w:rPr>
          <w:b/>
          <w:highlight w:val="lightGray"/>
        </w:rPr>
        <w:t>13.</w:t>
      </w:r>
      <w:r w:rsidRPr="00F30D3F">
        <w:rPr>
          <w:b/>
        </w:rPr>
        <w:tab/>
        <w:t>ZVLÁŠTNÍ OPATŘENÍ PRO ZNEŠKODŇOVÁNÍ NEPOUŽITÝCH PŘÍPRAVKŮ NEBO ODPADU, POKUD JE JICH TŘEBA</w:t>
      </w:r>
    </w:p>
    <w:p w14:paraId="5B1999FA" w14:textId="28FCDEC7" w:rsidR="00554D84" w:rsidRDefault="00554D84" w:rsidP="006B7975">
      <w:pPr>
        <w:ind w:right="-318"/>
      </w:pPr>
    </w:p>
    <w:p w14:paraId="734ED844" w14:textId="15A1FD31" w:rsidR="00790ED5" w:rsidRPr="00F30D3F" w:rsidRDefault="00790ED5" w:rsidP="00790ED5">
      <w:pPr>
        <w:ind w:left="0" w:right="-318" w:firstLine="0"/>
      </w:pPr>
      <w:r w:rsidRPr="00F30D3F">
        <w:t>Léčivé přípravky se nesmí likvidovat prostřednictvím odpadní vody či domovního odpadu</w:t>
      </w:r>
      <w:r>
        <w:t>.</w:t>
      </w:r>
    </w:p>
    <w:p w14:paraId="080AD9B1" w14:textId="77777777" w:rsidR="00554D84" w:rsidRPr="00F30D3F" w:rsidRDefault="00554D84" w:rsidP="00532D5C">
      <w:pPr>
        <w:ind w:left="0" w:right="-318" w:firstLine="0"/>
        <w:jc w:val="both"/>
      </w:pPr>
      <w:r w:rsidRPr="00F30D3F">
        <w:t>O možnostech likvidace nepotřebných léčivých přípravků se poraďte s vaším veterinárním lékařem. Tato opatření napomá</w:t>
      </w:r>
      <w:r w:rsidR="007D6AEF">
        <w:t>hají chránit životní prostředí.</w:t>
      </w:r>
    </w:p>
    <w:p w14:paraId="234E0EA1" w14:textId="77777777" w:rsidR="00554D84" w:rsidRPr="00F467E9" w:rsidRDefault="00554D84" w:rsidP="006B7975"/>
    <w:p w14:paraId="0494089B" w14:textId="77777777" w:rsidR="00554D84" w:rsidRPr="00F467E9" w:rsidRDefault="00554D84" w:rsidP="006B7975"/>
    <w:p w14:paraId="3E1AC989" w14:textId="77777777" w:rsidR="00554D84" w:rsidRPr="00F30D3F" w:rsidRDefault="00554D84" w:rsidP="006B7975">
      <w:r w:rsidRPr="002E1B73">
        <w:rPr>
          <w:b/>
          <w:highlight w:val="lightGray"/>
        </w:rPr>
        <w:t>14.</w:t>
      </w:r>
      <w:r w:rsidRPr="00F30D3F">
        <w:rPr>
          <w:b/>
        </w:rPr>
        <w:tab/>
        <w:t>DATUM POSLEDNÍ REVIZE PŘÍBALOVÉ INFORMACE</w:t>
      </w:r>
    </w:p>
    <w:p w14:paraId="24B256D7" w14:textId="77777777" w:rsidR="00554D84" w:rsidRPr="00F30D3F" w:rsidRDefault="00554D84" w:rsidP="006B7975">
      <w:pPr>
        <w:ind w:right="-318"/>
      </w:pPr>
    </w:p>
    <w:p w14:paraId="4927A74F" w14:textId="35BBC73F" w:rsidR="00554D84" w:rsidRDefault="003838BF" w:rsidP="00790ED5">
      <w:pPr>
        <w:ind w:left="0" w:right="-318" w:firstLine="0"/>
        <w:rPr>
          <w:lang w:val="et-EE"/>
        </w:rPr>
      </w:pPr>
      <w:r>
        <w:rPr>
          <w:lang w:val="et-EE"/>
        </w:rPr>
        <w:t xml:space="preserve">Prosinec </w:t>
      </w:r>
      <w:r w:rsidR="00ED4AA9">
        <w:rPr>
          <w:lang w:val="et-EE"/>
        </w:rPr>
        <w:t>2020</w:t>
      </w:r>
    </w:p>
    <w:p w14:paraId="1C151A8D" w14:textId="77777777" w:rsidR="003353AA" w:rsidRDefault="003353AA" w:rsidP="00790ED5">
      <w:pPr>
        <w:ind w:left="0" w:right="-318" w:firstLine="0"/>
        <w:rPr>
          <w:lang w:val="et-EE"/>
        </w:rPr>
      </w:pPr>
    </w:p>
    <w:p w14:paraId="114A5EEA" w14:textId="77777777" w:rsidR="005B4A99" w:rsidRPr="005B4A99" w:rsidRDefault="005B4A99" w:rsidP="005E376A">
      <w:pPr>
        <w:ind w:right="-318"/>
        <w:rPr>
          <w:lang w:val="et-EE"/>
        </w:rPr>
      </w:pPr>
    </w:p>
    <w:p w14:paraId="6D27E8FC" w14:textId="77777777" w:rsidR="00554D84" w:rsidRPr="00F30D3F" w:rsidRDefault="00554D84" w:rsidP="005E376A">
      <w:r w:rsidRPr="002E1B73">
        <w:rPr>
          <w:b/>
          <w:highlight w:val="lightGray"/>
        </w:rPr>
        <w:t>15.</w:t>
      </w:r>
      <w:r w:rsidRPr="00F30D3F">
        <w:rPr>
          <w:b/>
        </w:rPr>
        <w:tab/>
        <w:t>DALŠÍ INFORMACE</w:t>
      </w:r>
    </w:p>
    <w:p w14:paraId="52BEA255" w14:textId="77777777" w:rsidR="00191292" w:rsidRDefault="00191292" w:rsidP="005B4A99">
      <w:pPr>
        <w:ind w:left="0" w:right="-318" w:firstLine="0"/>
      </w:pPr>
    </w:p>
    <w:p w14:paraId="6145ABF8" w14:textId="01A31C95" w:rsidR="003838BF" w:rsidRDefault="003838BF" w:rsidP="003838BF">
      <w:pPr>
        <w:jc w:val="both"/>
        <w:rPr>
          <w:color w:val="000000"/>
          <w:szCs w:val="22"/>
        </w:rPr>
      </w:pPr>
      <w:r w:rsidRPr="000222E9">
        <w:rPr>
          <w:color w:val="000000"/>
          <w:szCs w:val="22"/>
        </w:rPr>
        <w:t>Velikost balení: 500 ml</w:t>
      </w:r>
      <w:r>
        <w:rPr>
          <w:color w:val="000000"/>
          <w:szCs w:val="22"/>
        </w:rPr>
        <w:t xml:space="preserve"> nebo </w:t>
      </w:r>
      <w:r w:rsidRPr="008C1F63">
        <w:rPr>
          <w:color w:val="000000"/>
          <w:szCs w:val="22"/>
        </w:rPr>
        <w:t>12 x 500 ml v kartonové krabici</w:t>
      </w:r>
      <w:r w:rsidRPr="000222E9">
        <w:rPr>
          <w:color w:val="000000"/>
          <w:szCs w:val="22"/>
        </w:rPr>
        <w:t>.</w:t>
      </w:r>
    </w:p>
    <w:p w14:paraId="5856CCE1" w14:textId="77777777" w:rsidR="003838BF" w:rsidRDefault="003838BF" w:rsidP="003838BF">
      <w:pPr>
        <w:ind w:left="0" w:right="-318" w:firstLine="0"/>
        <w:jc w:val="both"/>
      </w:pPr>
      <w:r w:rsidRPr="00F30D3F">
        <w:t>Na trhu nemusí být všechny velikosti balení.</w:t>
      </w:r>
    </w:p>
    <w:p w14:paraId="7666CFFA" w14:textId="77777777" w:rsidR="003838BF" w:rsidRDefault="003838BF" w:rsidP="00532D5C">
      <w:pPr>
        <w:ind w:left="0" w:right="-318" w:firstLine="0"/>
        <w:jc w:val="both"/>
      </w:pPr>
    </w:p>
    <w:p w14:paraId="7FA7E325" w14:textId="3DC3B07B" w:rsidR="0074550E" w:rsidRDefault="0074550E" w:rsidP="00532D5C">
      <w:pPr>
        <w:ind w:left="0" w:right="-318" w:firstLine="0"/>
        <w:jc w:val="both"/>
      </w:pPr>
      <w:r>
        <w:t>Pouze pro zvířata.</w:t>
      </w:r>
    </w:p>
    <w:p w14:paraId="66C20EEE" w14:textId="5455B6AC" w:rsidR="0074550E" w:rsidRDefault="0074550E" w:rsidP="00532D5C">
      <w:pPr>
        <w:ind w:left="0" w:right="-318" w:firstLine="0"/>
        <w:jc w:val="both"/>
      </w:pPr>
      <w:r>
        <w:t>Veterinární léčivý přípravek je vydáván pouze na předpis.</w:t>
      </w:r>
    </w:p>
    <w:p w14:paraId="123347C9" w14:textId="77777777" w:rsidR="0074550E" w:rsidRDefault="0074550E" w:rsidP="00532D5C">
      <w:pPr>
        <w:ind w:left="0" w:right="-318" w:firstLine="0"/>
        <w:jc w:val="both"/>
      </w:pPr>
    </w:p>
    <w:p w14:paraId="76668026" w14:textId="77777777" w:rsidR="005E376A" w:rsidRPr="005B4A99" w:rsidRDefault="005B4A99" w:rsidP="00532D5C">
      <w:pPr>
        <w:ind w:left="0" w:right="-318" w:firstLine="0"/>
        <w:jc w:val="both"/>
      </w:pPr>
      <w:r w:rsidRPr="005B4A99">
        <w:t>Pokud chcete získat informace o tomto veterinárním léčivém přípravku, kontaktujte prosím držitele rozhodnutí o registraci.</w:t>
      </w:r>
    </w:p>
    <w:p w14:paraId="554F39E0" w14:textId="77777777" w:rsidR="005B4A99" w:rsidRDefault="005B4A99" w:rsidP="005B4A99">
      <w:pPr>
        <w:rPr>
          <w:noProof/>
        </w:rPr>
      </w:pPr>
    </w:p>
    <w:p w14:paraId="300AE3CA" w14:textId="77777777" w:rsidR="00790ED5" w:rsidRPr="00790ED5" w:rsidRDefault="00790ED5" w:rsidP="00790ED5">
      <w:pPr>
        <w:rPr>
          <w:szCs w:val="22"/>
        </w:rPr>
      </w:pPr>
      <w:r w:rsidRPr="00790ED5">
        <w:rPr>
          <w:szCs w:val="22"/>
        </w:rPr>
        <w:t>Interchemie Werken De Adelaar Eesti AS</w:t>
      </w:r>
    </w:p>
    <w:p w14:paraId="2CD183A4" w14:textId="77777777" w:rsidR="00790ED5" w:rsidRPr="00790ED5" w:rsidRDefault="00790ED5" w:rsidP="00790ED5">
      <w:pPr>
        <w:rPr>
          <w:szCs w:val="22"/>
        </w:rPr>
      </w:pPr>
      <w:r w:rsidRPr="00790ED5">
        <w:rPr>
          <w:szCs w:val="22"/>
        </w:rPr>
        <w:t xml:space="preserve">Vanapere tee 14, Püünsi, </w:t>
      </w:r>
    </w:p>
    <w:p w14:paraId="7CB3FA73" w14:textId="77777777" w:rsidR="00790ED5" w:rsidRPr="00790ED5" w:rsidRDefault="00790ED5" w:rsidP="00790ED5">
      <w:pPr>
        <w:rPr>
          <w:szCs w:val="22"/>
        </w:rPr>
      </w:pPr>
      <w:r w:rsidRPr="00790ED5">
        <w:rPr>
          <w:szCs w:val="22"/>
        </w:rPr>
        <w:t xml:space="preserve">Venkovská obec </w:t>
      </w:r>
      <w:r w:rsidRPr="00790ED5">
        <w:rPr>
          <w:szCs w:val="22"/>
          <w:lang w:val="cs"/>
        </w:rPr>
        <w:t>Viimsi</w:t>
      </w:r>
    </w:p>
    <w:p w14:paraId="1F9BFFBF" w14:textId="77777777" w:rsidR="00790ED5" w:rsidRPr="00790ED5" w:rsidRDefault="00790ED5" w:rsidP="00790ED5">
      <w:pPr>
        <w:rPr>
          <w:szCs w:val="22"/>
        </w:rPr>
      </w:pPr>
      <w:r w:rsidRPr="00790ED5">
        <w:rPr>
          <w:szCs w:val="22"/>
        </w:rPr>
        <w:t>Harju kraj 74013</w:t>
      </w:r>
    </w:p>
    <w:p w14:paraId="3EAF0081" w14:textId="77777777" w:rsidR="00790ED5" w:rsidRPr="00790ED5" w:rsidRDefault="00790ED5" w:rsidP="00790ED5">
      <w:pPr>
        <w:rPr>
          <w:szCs w:val="22"/>
        </w:rPr>
      </w:pPr>
      <w:r w:rsidRPr="00790ED5">
        <w:rPr>
          <w:szCs w:val="22"/>
        </w:rPr>
        <w:t>Estonsko</w:t>
      </w:r>
    </w:p>
    <w:p w14:paraId="5AB31E97" w14:textId="77777777" w:rsidR="00790ED5" w:rsidRPr="00790ED5" w:rsidRDefault="00790ED5" w:rsidP="00790ED5">
      <w:pPr>
        <w:rPr>
          <w:szCs w:val="22"/>
        </w:rPr>
      </w:pPr>
      <w:r w:rsidRPr="00790ED5">
        <w:rPr>
          <w:szCs w:val="22"/>
        </w:rPr>
        <w:t>tel.: +372 6 005 005</w:t>
      </w:r>
    </w:p>
    <w:p w14:paraId="24A97CDF" w14:textId="77777777" w:rsidR="00790ED5" w:rsidRPr="00790ED5" w:rsidRDefault="00790ED5" w:rsidP="00790ED5">
      <w:pPr>
        <w:rPr>
          <w:szCs w:val="22"/>
        </w:rPr>
      </w:pPr>
      <w:r w:rsidRPr="00790ED5">
        <w:rPr>
          <w:szCs w:val="22"/>
        </w:rPr>
        <w:t>e-mail: info@interchemie.ee</w:t>
      </w:r>
    </w:p>
    <w:p w14:paraId="67BD5AA8" w14:textId="77777777" w:rsidR="005B4A99" w:rsidRPr="005B4A99" w:rsidRDefault="005B4A99" w:rsidP="005B4A99">
      <w:pPr>
        <w:rPr>
          <w:noProof/>
        </w:rPr>
      </w:pPr>
    </w:p>
    <w:sectPr w:rsidR="005B4A99" w:rsidRPr="005B4A99">
      <w:footerReference w:type="default" r:id="rId10"/>
      <w:headerReference w:type="first" r:id="rId11"/>
      <w:footerReference w:type="first" r:id="rId12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C12A4" w14:textId="77777777" w:rsidR="002E1B73" w:rsidRDefault="002E1B73">
      <w:r>
        <w:separator/>
      </w:r>
    </w:p>
  </w:endnote>
  <w:endnote w:type="continuationSeparator" w:id="0">
    <w:p w14:paraId="3FE828A1" w14:textId="77777777" w:rsidR="002E1B73" w:rsidRDefault="002E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82F86" w14:textId="77777777" w:rsidR="00CF7CB3" w:rsidRPr="000A6B2C" w:rsidRDefault="00CF7CB3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3E542C27" w14:textId="77777777" w:rsidR="00CF7CB3" w:rsidRPr="000A6B2C" w:rsidRDefault="00CF7CB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0A6B2C">
      <w:rPr>
        <w:rFonts w:ascii="Times New Roman" w:hAnsi="Times New Roman"/>
      </w:rPr>
      <w:fldChar w:fldCharType="begin"/>
    </w:r>
    <w:r w:rsidRPr="000A6B2C">
      <w:rPr>
        <w:rFonts w:ascii="Times New Roman" w:hAnsi="Times New Roman"/>
      </w:rPr>
      <w:instrText xml:space="preserve"> PAGE  \* MERGEFORMAT </w:instrText>
    </w:r>
    <w:r w:rsidRPr="000A6B2C">
      <w:rPr>
        <w:rFonts w:ascii="Times New Roman" w:hAnsi="Times New Roman"/>
      </w:rPr>
      <w:fldChar w:fldCharType="separate"/>
    </w:r>
    <w:r w:rsidR="00D8767B">
      <w:rPr>
        <w:rFonts w:ascii="Times New Roman" w:hAnsi="Times New Roman"/>
        <w:noProof/>
      </w:rPr>
      <w:t>2</w:t>
    </w:r>
    <w:r w:rsidRPr="000A6B2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4C03C" w14:textId="77777777" w:rsidR="00CF7CB3" w:rsidRDefault="00CF7CB3">
    <w:pPr>
      <w:pStyle w:val="Zpat"/>
      <w:tabs>
        <w:tab w:val="clear" w:pos="8930"/>
        <w:tab w:val="right" w:pos="8931"/>
      </w:tabs>
    </w:pPr>
  </w:p>
  <w:p w14:paraId="7AEFBEE6" w14:textId="77777777" w:rsidR="00CF7CB3" w:rsidRPr="000A6B2C" w:rsidRDefault="00CF7CB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0A6B2C">
      <w:rPr>
        <w:rFonts w:ascii="Times New Roman" w:hAnsi="Times New Roman"/>
      </w:rPr>
      <w:fldChar w:fldCharType="begin"/>
    </w:r>
    <w:r w:rsidRPr="000A6B2C">
      <w:rPr>
        <w:rFonts w:ascii="Times New Roman" w:hAnsi="Times New Roman"/>
      </w:rPr>
      <w:instrText xml:space="preserve"> PAGE  \* MERGEFORMAT </w:instrText>
    </w:r>
    <w:r w:rsidRPr="000A6B2C">
      <w:rPr>
        <w:rFonts w:ascii="Times New Roman" w:hAnsi="Times New Roman"/>
      </w:rPr>
      <w:fldChar w:fldCharType="separate"/>
    </w:r>
    <w:r w:rsidR="00D8767B">
      <w:rPr>
        <w:rFonts w:ascii="Times New Roman" w:hAnsi="Times New Roman"/>
        <w:noProof/>
      </w:rPr>
      <w:t>1</w:t>
    </w:r>
    <w:r w:rsidRPr="000A6B2C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837F7" w14:textId="77777777" w:rsidR="002E1B73" w:rsidRDefault="002E1B73">
      <w:r>
        <w:separator/>
      </w:r>
    </w:p>
  </w:footnote>
  <w:footnote w:type="continuationSeparator" w:id="0">
    <w:p w14:paraId="000BB8BD" w14:textId="77777777" w:rsidR="002E1B73" w:rsidRDefault="002E1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34425" w14:textId="2B83F4A4" w:rsidR="00F024E0" w:rsidRDefault="00F024E0" w:rsidP="00557E90">
    <w:pPr>
      <w:pStyle w:val="Zhlav"/>
      <w:ind w:left="0" w:firstLine="0"/>
    </w:pPr>
  </w:p>
  <w:p w14:paraId="20A54B17" w14:textId="77777777" w:rsidR="005B64B8" w:rsidRPr="00C000F0" w:rsidRDefault="00C000F0" w:rsidP="00C000F0">
    <w:pPr>
      <w:pStyle w:val="Zhlav"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A3F65D8"/>
    <w:multiLevelType w:val="multilevel"/>
    <w:tmpl w:val="A02E932A"/>
    <w:numStyleLink w:val="BulletsAgency"/>
  </w:abstractNum>
  <w:abstractNum w:abstractNumId="27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>
    <w:nsid w:val="662B5120"/>
    <w:multiLevelType w:val="hybridMultilevel"/>
    <w:tmpl w:val="BA1A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8"/>
  </w:num>
  <w:num w:numId="5">
    <w:abstractNumId w:val="37"/>
  </w:num>
  <w:num w:numId="6">
    <w:abstractNumId w:val="12"/>
  </w:num>
  <w:num w:numId="7">
    <w:abstractNumId w:val="23"/>
  </w:num>
  <w:num w:numId="8">
    <w:abstractNumId w:val="22"/>
  </w:num>
  <w:num w:numId="9">
    <w:abstractNumId w:val="7"/>
  </w:num>
  <w:num w:numId="10">
    <w:abstractNumId w:val="35"/>
  </w:num>
  <w:num w:numId="11">
    <w:abstractNumId w:val="36"/>
  </w:num>
  <w:num w:numId="12">
    <w:abstractNumId w:val="18"/>
  </w:num>
  <w:num w:numId="13">
    <w:abstractNumId w:val="14"/>
  </w:num>
  <w:num w:numId="14">
    <w:abstractNumId w:val="2"/>
  </w:num>
  <w:num w:numId="15">
    <w:abstractNumId w:val="33"/>
  </w:num>
  <w:num w:numId="16">
    <w:abstractNumId w:val="20"/>
  </w:num>
  <w:num w:numId="17">
    <w:abstractNumId w:val="39"/>
  </w:num>
  <w:num w:numId="18">
    <w:abstractNumId w:val="8"/>
  </w:num>
  <w:num w:numId="19">
    <w:abstractNumId w:val="1"/>
  </w:num>
  <w:num w:numId="20">
    <w:abstractNumId w:val="19"/>
  </w:num>
  <w:num w:numId="21">
    <w:abstractNumId w:val="3"/>
  </w:num>
  <w:num w:numId="22">
    <w:abstractNumId w:val="6"/>
  </w:num>
  <w:num w:numId="23">
    <w:abstractNumId w:val="27"/>
  </w:num>
  <w:num w:numId="24">
    <w:abstractNumId w:val="11"/>
  </w:num>
  <w:num w:numId="25">
    <w:abstractNumId w:val="32"/>
  </w:num>
  <w:num w:numId="26">
    <w:abstractNumId w:val="25"/>
  </w:num>
  <w:num w:numId="27">
    <w:abstractNumId w:val="13"/>
  </w:num>
  <w:num w:numId="28">
    <w:abstractNumId w:val="10"/>
  </w:num>
  <w:num w:numId="29">
    <w:abstractNumId w:val="21"/>
  </w:num>
  <w:num w:numId="30">
    <w:abstractNumId w:val="24"/>
  </w:num>
  <w:num w:numId="31">
    <w:abstractNumId w:val="16"/>
  </w:num>
  <w:num w:numId="32">
    <w:abstractNumId w:val="9"/>
  </w:num>
  <w:num w:numId="33">
    <w:abstractNumId w:val="30"/>
  </w:num>
  <w:num w:numId="34">
    <w:abstractNumId w:val="31"/>
  </w:num>
  <w:num w:numId="35">
    <w:abstractNumId w:val="29"/>
  </w:num>
  <w:num w:numId="36">
    <w:abstractNumId w:val="17"/>
  </w:num>
  <w:num w:numId="37">
    <w:abstractNumId w:val="4"/>
  </w:num>
  <w:num w:numId="38">
    <w:abstractNumId w:val="40"/>
  </w:num>
  <w:num w:numId="39">
    <w:abstractNumId w:val="15"/>
  </w:num>
  <w:num w:numId="40">
    <w:abstractNumId w:val="5"/>
  </w:num>
  <w:num w:numId="41">
    <w:abstractNumId w:val="26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cs-CZ" w:vendorID="64" w:dllVersion="0" w:nlCheck="1" w:checkStyle="0"/>
  <w:activeWritingStyle w:appName="MSWord" w:lang="ru-RU" w:vendorID="64" w:dllVersion="4096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Registered" w:val="-1"/>
    <w:docVar w:name="Version" w:val="0"/>
  </w:docVars>
  <w:rsids>
    <w:rsidRoot w:val="00A219CA"/>
    <w:rsid w:val="00001467"/>
    <w:rsid w:val="000072D5"/>
    <w:rsid w:val="00011623"/>
    <w:rsid w:val="00013853"/>
    <w:rsid w:val="000267C9"/>
    <w:rsid w:val="00031148"/>
    <w:rsid w:val="0003438A"/>
    <w:rsid w:val="00036A9C"/>
    <w:rsid w:val="0004121C"/>
    <w:rsid w:val="00044181"/>
    <w:rsid w:val="000513E0"/>
    <w:rsid w:val="000634A1"/>
    <w:rsid w:val="00067640"/>
    <w:rsid w:val="00075C45"/>
    <w:rsid w:val="00084DED"/>
    <w:rsid w:val="000A6B2C"/>
    <w:rsid w:val="000A7089"/>
    <w:rsid w:val="000F1AB7"/>
    <w:rsid w:val="001038FD"/>
    <w:rsid w:val="00113E18"/>
    <w:rsid w:val="00116F84"/>
    <w:rsid w:val="00140775"/>
    <w:rsid w:val="001443DA"/>
    <w:rsid w:val="00144B31"/>
    <w:rsid w:val="00150B72"/>
    <w:rsid w:val="00152E20"/>
    <w:rsid w:val="001556FD"/>
    <w:rsid w:val="00155E9D"/>
    <w:rsid w:val="001652DE"/>
    <w:rsid w:val="001751C8"/>
    <w:rsid w:val="00175CFD"/>
    <w:rsid w:val="00191292"/>
    <w:rsid w:val="001A24A9"/>
    <w:rsid w:val="001A5B3A"/>
    <w:rsid w:val="001C0CE6"/>
    <w:rsid w:val="001C6818"/>
    <w:rsid w:val="001D47C2"/>
    <w:rsid w:val="001E0872"/>
    <w:rsid w:val="001E1F34"/>
    <w:rsid w:val="001F66B4"/>
    <w:rsid w:val="0020738F"/>
    <w:rsid w:val="002077DA"/>
    <w:rsid w:val="00210ED8"/>
    <w:rsid w:val="00225283"/>
    <w:rsid w:val="002339E3"/>
    <w:rsid w:val="00242AAB"/>
    <w:rsid w:val="00244D55"/>
    <w:rsid w:val="0025393A"/>
    <w:rsid w:val="0026696D"/>
    <w:rsid w:val="00272114"/>
    <w:rsid w:val="00273C61"/>
    <w:rsid w:val="002742A8"/>
    <w:rsid w:val="00283AA7"/>
    <w:rsid w:val="00293BE7"/>
    <w:rsid w:val="00294D9B"/>
    <w:rsid w:val="00296924"/>
    <w:rsid w:val="002B0F27"/>
    <w:rsid w:val="002B7702"/>
    <w:rsid w:val="002C36A6"/>
    <w:rsid w:val="002C4E18"/>
    <w:rsid w:val="002E1B73"/>
    <w:rsid w:val="002E703B"/>
    <w:rsid w:val="002F430F"/>
    <w:rsid w:val="0032270B"/>
    <w:rsid w:val="003312A6"/>
    <w:rsid w:val="003353AA"/>
    <w:rsid w:val="00362DA6"/>
    <w:rsid w:val="00376966"/>
    <w:rsid w:val="00381254"/>
    <w:rsid w:val="003838BF"/>
    <w:rsid w:val="003A7224"/>
    <w:rsid w:val="003B5EA3"/>
    <w:rsid w:val="003C663E"/>
    <w:rsid w:val="003D4FDD"/>
    <w:rsid w:val="003E0D57"/>
    <w:rsid w:val="003E3E6C"/>
    <w:rsid w:val="003F7E7F"/>
    <w:rsid w:val="004016C0"/>
    <w:rsid w:val="00401AB8"/>
    <w:rsid w:val="00403374"/>
    <w:rsid w:val="00404749"/>
    <w:rsid w:val="00410FC4"/>
    <w:rsid w:val="004264BB"/>
    <w:rsid w:val="00431461"/>
    <w:rsid w:val="004369AB"/>
    <w:rsid w:val="004454F9"/>
    <w:rsid w:val="00445750"/>
    <w:rsid w:val="004463D3"/>
    <w:rsid w:val="00453EE6"/>
    <w:rsid w:val="00455F65"/>
    <w:rsid w:val="00464269"/>
    <w:rsid w:val="00471EA4"/>
    <w:rsid w:val="00476943"/>
    <w:rsid w:val="0049115A"/>
    <w:rsid w:val="00494929"/>
    <w:rsid w:val="004A4A2C"/>
    <w:rsid w:val="004A6C10"/>
    <w:rsid w:val="004B1360"/>
    <w:rsid w:val="004C2A75"/>
    <w:rsid w:val="004D3940"/>
    <w:rsid w:val="004E33B0"/>
    <w:rsid w:val="004F3604"/>
    <w:rsid w:val="005122FB"/>
    <w:rsid w:val="00517FC1"/>
    <w:rsid w:val="00525669"/>
    <w:rsid w:val="00532D5C"/>
    <w:rsid w:val="00554D84"/>
    <w:rsid w:val="00556C6F"/>
    <w:rsid w:val="00557E90"/>
    <w:rsid w:val="005630A0"/>
    <w:rsid w:val="0056452D"/>
    <w:rsid w:val="005657D9"/>
    <w:rsid w:val="00567C08"/>
    <w:rsid w:val="00570639"/>
    <w:rsid w:val="00592696"/>
    <w:rsid w:val="005B34F1"/>
    <w:rsid w:val="005B4A99"/>
    <w:rsid w:val="005B64B8"/>
    <w:rsid w:val="005E27E9"/>
    <w:rsid w:val="005E348B"/>
    <w:rsid w:val="005E3548"/>
    <w:rsid w:val="005E376A"/>
    <w:rsid w:val="005E50A5"/>
    <w:rsid w:val="005F12E7"/>
    <w:rsid w:val="005F2E32"/>
    <w:rsid w:val="005F7959"/>
    <w:rsid w:val="005F7FA2"/>
    <w:rsid w:val="006060E9"/>
    <w:rsid w:val="00606782"/>
    <w:rsid w:val="00623E4E"/>
    <w:rsid w:val="0063465B"/>
    <w:rsid w:val="0063683D"/>
    <w:rsid w:val="006613A1"/>
    <w:rsid w:val="006669B8"/>
    <w:rsid w:val="0068172C"/>
    <w:rsid w:val="00682E55"/>
    <w:rsid w:val="00696B0E"/>
    <w:rsid w:val="006A2F72"/>
    <w:rsid w:val="006B7975"/>
    <w:rsid w:val="006C4941"/>
    <w:rsid w:val="006C733F"/>
    <w:rsid w:val="006C77DF"/>
    <w:rsid w:val="006D067E"/>
    <w:rsid w:val="006D0E46"/>
    <w:rsid w:val="006D2E0C"/>
    <w:rsid w:val="006D4FCD"/>
    <w:rsid w:val="006D68C2"/>
    <w:rsid w:val="006E2117"/>
    <w:rsid w:val="006E66ED"/>
    <w:rsid w:val="006F09CF"/>
    <w:rsid w:val="006F665B"/>
    <w:rsid w:val="00702703"/>
    <w:rsid w:val="00703330"/>
    <w:rsid w:val="00714D0D"/>
    <w:rsid w:val="00717DDF"/>
    <w:rsid w:val="00725273"/>
    <w:rsid w:val="00730F7C"/>
    <w:rsid w:val="00742EB3"/>
    <w:rsid w:val="00743110"/>
    <w:rsid w:val="0074550E"/>
    <w:rsid w:val="0077431E"/>
    <w:rsid w:val="00782CE3"/>
    <w:rsid w:val="0078751A"/>
    <w:rsid w:val="00790ED5"/>
    <w:rsid w:val="0079272F"/>
    <w:rsid w:val="00792B0B"/>
    <w:rsid w:val="007A5610"/>
    <w:rsid w:val="007C495D"/>
    <w:rsid w:val="007C5608"/>
    <w:rsid w:val="007C6C15"/>
    <w:rsid w:val="007D6AEF"/>
    <w:rsid w:val="007F0B23"/>
    <w:rsid w:val="007F41BC"/>
    <w:rsid w:val="007F5AB8"/>
    <w:rsid w:val="007F6A96"/>
    <w:rsid w:val="008039B0"/>
    <w:rsid w:val="008043EC"/>
    <w:rsid w:val="0081008D"/>
    <w:rsid w:val="00811E81"/>
    <w:rsid w:val="00850494"/>
    <w:rsid w:val="00865738"/>
    <w:rsid w:val="00870214"/>
    <w:rsid w:val="008758DA"/>
    <w:rsid w:val="0088105E"/>
    <w:rsid w:val="008963C9"/>
    <w:rsid w:val="008A1D73"/>
    <w:rsid w:val="008B1355"/>
    <w:rsid w:val="008C210D"/>
    <w:rsid w:val="008D3411"/>
    <w:rsid w:val="008E1461"/>
    <w:rsid w:val="009006E9"/>
    <w:rsid w:val="00903A18"/>
    <w:rsid w:val="009059D2"/>
    <w:rsid w:val="00907007"/>
    <w:rsid w:val="00907DAC"/>
    <w:rsid w:val="00945D2D"/>
    <w:rsid w:val="00947B5B"/>
    <w:rsid w:val="00952E34"/>
    <w:rsid w:val="00953EB1"/>
    <w:rsid w:val="00955A6D"/>
    <w:rsid w:val="009641F2"/>
    <w:rsid w:val="0097475E"/>
    <w:rsid w:val="00976E1F"/>
    <w:rsid w:val="00976FEC"/>
    <w:rsid w:val="0098538B"/>
    <w:rsid w:val="009917F9"/>
    <w:rsid w:val="009A2A10"/>
    <w:rsid w:val="009A5A68"/>
    <w:rsid w:val="009C5E42"/>
    <w:rsid w:val="009D0206"/>
    <w:rsid w:val="009D5C28"/>
    <w:rsid w:val="00A121C4"/>
    <w:rsid w:val="00A219CA"/>
    <w:rsid w:val="00A2454D"/>
    <w:rsid w:val="00A304F8"/>
    <w:rsid w:val="00A33D05"/>
    <w:rsid w:val="00A35EED"/>
    <w:rsid w:val="00A45F06"/>
    <w:rsid w:val="00A4670A"/>
    <w:rsid w:val="00A51E19"/>
    <w:rsid w:val="00A60A84"/>
    <w:rsid w:val="00A65818"/>
    <w:rsid w:val="00A70428"/>
    <w:rsid w:val="00A8426D"/>
    <w:rsid w:val="00A94807"/>
    <w:rsid w:val="00AA471E"/>
    <w:rsid w:val="00AD2658"/>
    <w:rsid w:val="00AD663C"/>
    <w:rsid w:val="00AE31E8"/>
    <w:rsid w:val="00AE3E06"/>
    <w:rsid w:val="00AE3E60"/>
    <w:rsid w:val="00AF0F5F"/>
    <w:rsid w:val="00AF3379"/>
    <w:rsid w:val="00AF3E57"/>
    <w:rsid w:val="00B1150B"/>
    <w:rsid w:val="00B30D42"/>
    <w:rsid w:val="00B357A4"/>
    <w:rsid w:val="00B41526"/>
    <w:rsid w:val="00B52AFE"/>
    <w:rsid w:val="00B62DA0"/>
    <w:rsid w:val="00B777D3"/>
    <w:rsid w:val="00B833F6"/>
    <w:rsid w:val="00B861AA"/>
    <w:rsid w:val="00B9325D"/>
    <w:rsid w:val="00BA7E09"/>
    <w:rsid w:val="00BB3AA8"/>
    <w:rsid w:val="00BB579E"/>
    <w:rsid w:val="00BC21D8"/>
    <w:rsid w:val="00BD0D80"/>
    <w:rsid w:val="00BD6DD5"/>
    <w:rsid w:val="00BD7E5A"/>
    <w:rsid w:val="00BF52CC"/>
    <w:rsid w:val="00C000F0"/>
    <w:rsid w:val="00C009AF"/>
    <w:rsid w:val="00C124BB"/>
    <w:rsid w:val="00C17CCC"/>
    <w:rsid w:val="00C27C63"/>
    <w:rsid w:val="00C36E0D"/>
    <w:rsid w:val="00C420A0"/>
    <w:rsid w:val="00C655A7"/>
    <w:rsid w:val="00C71CE4"/>
    <w:rsid w:val="00C7574D"/>
    <w:rsid w:val="00C82DDD"/>
    <w:rsid w:val="00C8461A"/>
    <w:rsid w:val="00C8498E"/>
    <w:rsid w:val="00C9401A"/>
    <w:rsid w:val="00CA0601"/>
    <w:rsid w:val="00CA0A9E"/>
    <w:rsid w:val="00CA3887"/>
    <w:rsid w:val="00CB1ED6"/>
    <w:rsid w:val="00CB5941"/>
    <w:rsid w:val="00CC194E"/>
    <w:rsid w:val="00CF421C"/>
    <w:rsid w:val="00CF5161"/>
    <w:rsid w:val="00CF7CB3"/>
    <w:rsid w:val="00D042A0"/>
    <w:rsid w:val="00D121DE"/>
    <w:rsid w:val="00D167AB"/>
    <w:rsid w:val="00D20EF5"/>
    <w:rsid w:val="00D234AB"/>
    <w:rsid w:val="00D2474A"/>
    <w:rsid w:val="00D26FFF"/>
    <w:rsid w:val="00D45F1E"/>
    <w:rsid w:val="00D629B6"/>
    <w:rsid w:val="00D86292"/>
    <w:rsid w:val="00D8668E"/>
    <w:rsid w:val="00D8767B"/>
    <w:rsid w:val="00DA1561"/>
    <w:rsid w:val="00DA2C11"/>
    <w:rsid w:val="00DA6885"/>
    <w:rsid w:val="00DC1DC4"/>
    <w:rsid w:val="00DE2E3E"/>
    <w:rsid w:val="00DE44F8"/>
    <w:rsid w:val="00DE52FB"/>
    <w:rsid w:val="00DF1B51"/>
    <w:rsid w:val="00E07339"/>
    <w:rsid w:val="00E32C0F"/>
    <w:rsid w:val="00E577BF"/>
    <w:rsid w:val="00E6140C"/>
    <w:rsid w:val="00E758B1"/>
    <w:rsid w:val="00E80297"/>
    <w:rsid w:val="00E97859"/>
    <w:rsid w:val="00EA1B3E"/>
    <w:rsid w:val="00EA67B0"/>
    <w:rsid w:val="00EA74C5"/>
    <w:rsid w:val="00EB45EB"/>
    <w:rsid w:val="00EB566F"/>
    <w:rsid w:val="00EC087A"/>
    <w:rsid w:val="00EC0BFB"/>
    <w:rsid w:val="00EC4DA6"/>
    <w:rsid w:val="00ED08CE"/>
    <w:rsid w:val="00ED4AA9"/>
    <w:rsid w:val="00EE1901"/>
    <w:rsid w:val="00EF6F86"/>
    <w:rsid w:val="00F024E0"/>
    <w:rsid w:val="00F10A37"/>
    <w:rsid w:val="00F13C84"/>
    <w:rsid w:val="00F16315"/>
    <w:rsid w:val="00F21B00"/>
    <w:rsid w:val="00F30D3F"/>
    <w:rsid w:val="00F33BB4"/>
    <w:rsid w:val="00F40540"/>
    <w:rsid w:val="00F45F6F"/>
    <w:rsid w:val="00F467E9"/>
    <w:rsid w:val="00F50BCE"/>
    <w:rsid w:val="00F51039"/>
    <w:rsid w:val="00F564C7"/>
    <w:rsid w:val="00F637CA"/>
    <w:rsid w:val="00F65119"/>
    <w:rsid w:val="00F74757"/>
    <w:rsid w:val="00F75554"/>
    <w:rsid w:val="00F84800"/>
    <w:rsid w:val="00F95CC5"/>
    <w:rsid w:val="00FA3309"/>
    <w:rsid w:val="00FA4BEE"/>
    <w:rsid w:val="00FA6998"/>
    <w:rsid w:val="00FB42E6"/>
    <w:rsid w:val="00FC1FED"/>
    <w:rsid w:val="00FD4342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D96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953EB1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953EB1"/>
    <w:pPr>
      <w:numPr>
        <w:numId w:val="40"/>
      </w:numPr>
    </w:pPr>
  </w:style>
  <w:style w:type="paragraph" w:customStyle="1" w:styleId="NormalAgency">
    <w:name w:val="Normal (Agency)"/>
    <w:link w:val="NormalAgencyChar"/>
    <w:rsid w:val="00953EB1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953EB1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953EB1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953EB1"/>
    <w:pPr>
      <w:ind w:left="720" w:hanging="720"/>
    </w:pPr>
    <w:rPr>
      <w:rFonts w:eastAsia="SimSun"/>
      <w:szCs w:val="18"/>
      <w:lang w:val="en-GB" w:eastAsia="zh-CN"/>
    </w:rPr>
  </w:style>
  <w:style w:type="paragraph" w:customStyle="1" w:styleId="Default">
    <w:name w:val="Default"/>
    <w:rsid w:val="00B52A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B52AFE"/>
    <w:pPr>
      <w:spacing w:after="260"/>
    </w:pPr>
    <w:rPr>
      <w:color w:val="auto"/>
    </w:rPr>
  </w:style>
  <w:style w:type="character" w:customStyle="1" w:styleId="ZhlavChar">
    <w:name w:val="Záhlaví Char"/>
    <w:link w:val="Zhlav"/>
    <w:rsid w:val="00C000F0"/>
    <w:rPr>
      <w:rFonts w:ascii="Helvetica" w:hAnsi="Helvetica"/>
      <w:lang w:eastAsia="en-US"/>
    </w:rPr>
  </w:style>
  <w:style w:type="character" w:customStyle="1" w:styleId="TextkomenteChar">
    <w:name w:val="Text komentáře Char"/>
    <w:link w:val="Textkomente"/>
    <w:semiHidden/>
    <w:rsid w:val="00225283"/>
    <w:rPr>
      <w:lang w:eastAsia="en-US"/>
    </w:rPr>
  </w:style>
  <w:style w:type="paragraph" w:styleId="Normlnweb">
    <w:name w:val="Normal (Web)"/>
    <w:basedOn w:val="Normln"/>
    <w:uiPriority w:val="99"/>
    <w:unhideWhenUsed/>
    <w:rsid w:val="00B30D42"/>
    <w:pPr>
      <w:spacing w:before="100" w:beforeAutospacing="1" w:after="100" w:afterAutospacing="1"/>
      <w:ind w:left="0" w:firstLine="0"/>
    </w:pPr>
    <w:rPr>
      <w:sz w:val="24"/>
      <w:szCs w:val="24"/>
      <w:lang w:val="en-US"/>
    </w:rPr>
  </w:style>
  <w:style w:type="character" w:styleId="Zvraznn">
    <w:name w:val="Emphasis"/>
    <w:uiPriority w:val="20"/>
    <w:qFormat/>
    <w:rsid w:val="00B30D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Zhlav">
    <w:name w:val="BulletsAgency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4308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307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7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2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0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59791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6595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CS_qrd_veterinary template_v. 8.1_clean</vt:lpstr>
      <vt:lpstr>CS_qrd_veterinary template_v. 8.1_clean</vt:lpstr>
    </vt:vector>
  </TitlesOfParts>
  <LinksUpToDate>false</LinksUpToDate>
  <CharactersWithSpaces>7697</CharactersWithSpaces>
  <SharedDoc>false</SharedDoc>
  <HLinks>
    <vt:vector size="12" baseType="variant">
      <vt:variant>
        <vt:i4>6160414</vt:i4>
      </vt:variant>
      <vt:variant>
        <vt:i4>3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  <vt:variant>
        <vt:i4>5832804</vt:i4>
      </vt:variant>
      <vt:variant>
        <vt:i4>0</vt:i4>
      </vt:variant>
      <vt:variant>
        <vt:i4>0</vt:i4>
      </vt:variant>
      <vt:variant>
        <vt:i4>5</vt:i4>
      </vt:variant>
      <vt:variant>
        <vt:lpwstr>mailto:adr@uskvbl.cz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CS_qrd_veterinary template_v. 8.1_clean</dc:title>
  <dc:subject/>
  <dc:creator/>
  <cp:keywords/>
  <cp:lastModifiedBy/>
  <cp:revision>1</cp:revision>
  <dcterms:created xsi:type="dcterms:W3CDTF">2019-03-15T13:53:00Z</dcterms:created>
  <dcterms:modified xsi:type="dcterms:W3CDTF">2020-12-22T12:39:00Z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CURRENT,1.0</vt:lpwstr>
  </property>
  <property fmtid="{D5CDD505-2E9C-101B-9397-08002B2CF9AE}" pid="3" name="DM_Name">
    <vt:lpwstr>CS_qrd_veterinary template_v. 8.1_clean</vt:lpwstr>
  </property>
  <property fmtid="{D5CDD505-2E9C-101B-9397-08002B2CF9AE}" pid="4" name="DM_Creation_Date">
    <vt:lpwstr>07/02/2017 17:08:10</vt:lpwstr>
  </property>
  <property fmtid="{D5CDD505-2E9C-101B-9397-08002B2CF9AE}" pid="5" name="DM_Modify_Date">
    <vt:lpwstr>07/02/2017 17:08:10</vt:lpwstr>
  </property>
  <property fmtid="{D5CDD505-2E9C-101B-9397-08002B2CF9AE}" pid="6" name="DM_Creator_Name">
    <vt:lpwstr>Prizzi Monica</vt:lpwstr>
  </property>
  <property fmtid="{D5CDD505-2E9C-101B-9397-08002B2CF9AE}" pid="7" name="DM_Modifier_Name">
    <vt:lpwstr>Prizzi Monica</vt:lpwstr>
  </property>
  <property fmtid="{D5CDD505-2E9C-101B-9397-08002B2CF9AE}" pid="8" name="DM_Type">
    <vt:lpwstr>emea_document</vt:lpwstr>
  </property>
  <property fmtid="{D5CDD505-2E9C-101B-9397-08002B2CF9AE}" pid="9" name="DM_DocRefId">
    <vt:lpwstr>EMA/89123/2017</vt:lpwstr>
  </property>
  <property fmtid="{D5CDD505-2E9C-101B-9397-08002B2CF9AE}" pid="10" name="DM_Category">
    <vt:lpwstr>Templates and Form</vt:lpwstr>
  </property>
  <property fmtid="{D5CDD505-2E9C-101B-9397-08002B2CF9AE}" pid="11" name="DM_Path">
    <vt:lpwstr>/02b. Administration of Scientific Meeting/WPs SAGs DGs and other WGs/CxMP - QRD/3. Other activities/02. Procedures/01. QRD PI templates/02 QRD Veterinary templates/13 V-template v.8.1 - publication/03 All other languages vet QRD PI_for publication/01 Cle</vt:lpwstr>
  </property>
  <property fmtid="{D5CDD505-2E9C-101B-9397-08002B2CF9AE}" pid="12" name="DM_emea_doc_ref_id">
    <vt:lpwstr>EMA/89123/2017</vt:lpwstr>
  </property>
  <property fmtid="{D5CDD505-2E9C-101B-9397-08002B2CF9AE}" pid="13" name="DM_Modifer_Name">
    <vt:lpwstr>Prizzi Monica</vt:lpwstr>
  </property>
  <property fmtid="{D5CDD505-2E9C-101B-9397-08002B2CF9AE}" pid="14" name="DM_Modified_Date">
    <vt:lpwstr>07/02/2017 17:08:10</vt:lpwstr>
  </property>
</Properties>
</file>