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DDE" w:rsidRDefault="00DE2DDE" w:rsidP="00DE2DDE">
      <w:pPr>
        <w:tabs>
          <w:tab w:val="left" w:pos="1245"/>
        </w:tabs>
        <w:spacing w:line="254" w:lineRule="auto"/>
        <w:ind w:left="53"/>
        <w:rPr>
          <w:color w:val="000000"/>
          <w:lang w:val="de-DE" w:eastAsia="de-DE"/>
        </w:rPr>
      </w:pPr>
      <w:r>
        <w:rPr>
          <w:color w:val="000000"/>
          <w:lang w:val="de-DE" w:eastAsia="de-DE"/>
        </w:rPr>
        <w:tab/>
      </w:r>
    </w:p>
    <w:p w:rsidR="00DE2DDE" w:rsidRDefault="00DE2DDE" w:rsidP="00DE2DDE">
      <w:pPr>
        <w:spacing w:line="254" w:lineRule="auto"/>
        <w:ind w:left="53"/>
        <w:jc w:val="center"/>
        <w:rPr>
          <w:color w:val="000000"/>
          <w:lang w:val="de-DE" w:eastAsia="de-DE"/>
        </w:rPr>
      </w:pPr>
      <w:r>
        <w:rPr>
          <w:b/>
          <w:color w:val="000000"/>
          <w:lang w:val="de-DE" w:eastAsia="de-DE"/>
        </w:rPr>
        <w:t xml:space="preserve"> </w:t>
      </w:r>
    </w:p>
    <w:p w:rsidR="00DE2DDE" w:rsidRDefault="00DE2DDE" w:rsidP="00DE2DDE">
      <w:pPr>
        <w:spacing w:line="254" w:lineRule="auto"/>
        <w:ind w:left="53"/>
        <w:jc w:val="center"/>
        <w:rPr>
          <w:color w:val="000000"/>
          <w:lang w:val="de-DE" w:eastAsia="de-DE"/>
        </w:rPr>
      </w:pPr>
      <w:r>
        <w:rPr>
          <w:b/>
          <w:color w:val="000000"/>
          <w:lang w:val="de-DE" w:eastAsia="de-DE"/>
        </w:rPr>
        <w:t xml:space="preserve"> </w:t>
      </w:r>
    </w:p>
    <w:p w:rsidR="00DE2DDE" w:rsidRDefault="00DE2DDE" w:rsidP="00DE2DDE">
      <w:pPr>
        <w:spacing w:line="254" w:lineRule="auto"/>
        <w:ind w:left="53"/>
        <w:jc w:val="center"/>
        <w:rPr>
          <w:color w:val="000000"/>
          <w:lang w:val="de-DE" w:eastAsia="de-DE"/>
        </w:rPr>
      </w:pPr>
      <w:r>
        <w:rPr>
          <w:b/>
          <w:color w:val="000000"/>
          <w:lang w:val="de-DE" w:eastAsia="de-DE"/>
        </w:rPr>
        <w:t xml:space="preserve"> </w:t>
      </w:r>
    </w:p>
    <w:p w:rsidR="00DE2DDE" w:rsidRDefault="00DE2DDE" w:rsidP="00DE2DDE">
      <w:pPr>
        <w:spacing w:line="254" w:lineRule="auto"/>
        <w:ind w:left="53"/>
        <w:jc w:val="center"/>
        <w:rPr>
          <w:color w:val="000000"/>
          <w:lang w:val="de-DE" w:eastAsia="de-DE"/>
        </w:rPr>
      </w:pPr>
      <w:r>
        <w:rPr>
          <w:b/>
          <w:color w:val="000000"/>
          <w:lang w:val="de-DE" w:eastAsia="de-DE"/>
        </w:rPr>
        <w:t xml:space="preserve"> </w:t>
      </w:r>
    </w:p>
    <w:p w:rsidR="00DE2DDE" w:rsidRDefault="00DE2DDE" w:rsidP="00DE2DDE">
      <w:pPr>
        <w:spacing w:line="254" w:lineRule="auto"/>
        <w:ind w:left="53"/>
        <w:jc w:val="center"/>
        <w:rPr>
          <w:color w:val="000000"/>
          <w:lang w:val="de-DE" w:eastAsia="de-DE"/>
        </w:rPr>
      </w:pPr>
      <w:r>
        <w:rPr>
          <w:b/>
          <w:color w:val="000000"/>
          <w:lang w:val="de-DE" w:eastAsia="de-DE"/>
        </w:rPr>
        <w:t xml:space="preserve"> </w:t>
      </w:r>
    </w:p>
    <w:p w:rsidR="00DE2DDE" w:rsidRDefault="00DE2DDE" w:rsidP="00DE2DDE">
      <w:pPr>
        <w:spacing w:line="254" w:lineRule="auto"/>
        <w:ind w:left="53"/>
        <w:jc w:val="center"/>
        <w:rPr>
          <w:color w:val="000000"/>
          <w:lang w:val="de-DE" w:eastAsia="de-DE"/>
        </w:rPr>
      </w:pPr>
      <w:r>
        <w:rPr>
          <w:b/>
          <w:color w:val="000000"/>
          <w:lang w:val="de-DE" w:eastAsia="de-DE"/>
        </w:rPr>
        <w:t xml:space="preserve"> </w:t>
      </w:r>
    </w:p>
    <w:p w:rsidR="00DE2DDE" w:rsidRDefault="00DE2DDE" w:rsidP="00DE2DDE">
      <w:pPr>
        <w:spacing w:line="254" w:lineRule="auto"/>
        <w:ind w:left="53"/>
        <w:jc w:val="center"/>
        <w:rPr>
          <w:color w:val="000000"/>
          <w:lang w:val="de-DE" w:eastAsia="de-DE"/>
        </w:rPr>
      </w:pPr>
      <w:r>
        <w:rPr>
          <w:b/>
          <w:color w:val="000000"/>
          <w:lang w:val="de-DE" w:eastAsia="de-DE"/>
        </w:rPr>
        <w:t xml:space="preserve"> </w:t>
      </w:r>
    </w:p>
    <w:p w:rsidR="00DE2DDE" w:rsidRDefault="00DE2DDE" w:rsidP="00DE2DDE">
      <w:pPr>
        <w:spacing w:line="254" w:lineRule="auto"/>
        <w:ind w:left="53"/>
        <w:jc w:val="center"/>
        <w:rPr>
          <w:color w:val="000000"/>
          <w:lang w:val="de-DE" w:eastAsia="de-DE"/>
        </w:rPr>
      </w:pPr>
      <w:r>
        <w:rPr>
          <w:b/>
          <w:color w:val="000000"/>
          <w:lang w:val="de-DE" w:eastAsia="de-DE"/>
        </w:rPr>
        <w:t xml:space="preserve"> </w:t>
      </w:r>
    </w:p>
    <w:p w:rsidR="00DE2DDE" w:rsidRDefault="00DE2DDE" w:rsidP="00DE2DDE">
      <w:pPr>
        <w:spacing w:line="254" w:lineRule="auto"/>
        <w:ind w:left="53"/>
        <w:jc w:val="center"/>
        <w:rPr>
          <w:color w:val="000000"/>
          <w:lang w:val="de-DE" w:eastAsia="de-DE"/>
        </w:rPr>
      </w:pPr>
      <w:r>
        <w:rPr>
          <w:b/>
          <w:color w:val="000000"/>
          <w:lang w:val="de-DE" w:eastAsia="de-DE"/>
        </w:rPr>
        <w:t xml:space="preserve"> </w:t>
      </w:r>
    </w:p>
    <w:p w:rsidR="00DE2DDE" w:rsidRDefault="00DE2DDE" w:rsidP="00DE2DDE">
      <w:pPr>
        <w:spacing w:line="254" w:lineRule="auto"/>
        <w:ind w:left="53"/>
        <w:jc w:val="center"/>
        <w:rPr>
          <w:color w:val="000000"/>
          <w:lang w:val="de-DE" w:eastAsia="de-DE"/>
        </w:rPr>
      </w:pPr>
      <w:r>
        <w:rPr>
          <w:b/>
          <w:color w:val="000000"/>
          <w:lang w:val="de-DE" w:eastAsia="de-DE"/>
        </w:rPr>
        <w:t xml:space="preserve"> </w:t>
      </w:r>
    </w:p>
    <w:p w:rsidR="00DE2DDE" w:rsidRDefault="00DE2DDE" w:rsidP="00DE2DDE">
      <w:pPr>
        <w:spacing w:line="254" w:lineRule="auto"/>
        <w:ind w:left="53"/>
        <w:jc w:val="center"/>
        <w:rPr>
          <w:color w:val="000000"/>
          <w:lang w:val="de-DE" w:eastAsia="de-DE"/>
        </w:rPr>
      </w:pPr>
      <w:r>
        <w:rPr>
          <w:b/>
          <w:color w:val="000000"/>
          <w:lang w:val="de-DE" w:eastAsia="de-DE"/>
        </w:rPr>
        <w:t xml:space="preserve"> </w:t>
      </w:r>
    </w:p>
    <w:p w:rsidR="00DE2DDE" w:rsidRDefault="00DE2DDE" w:rsidP="00DE2DDE">
      <w:pPr>
        <w:spacing w:line="254" w:lineRule="auto"/>
        <w:ind w:left="53"/>
        <w:jc w:val="center"/>
        <w:rPr>
          <w:color w:val="000000"/>
          <w:lang w:val="de-DE" w:eastAsia="de-DE"/>
        </w:rPr>
      </w:pPr>
      <w:r>
        <w:rPr>
          <w:b/>
          <w:color w:val="000000"/>
          <w:lang w:val="de-DE" w:eastAsia="de-DE"/>
        </w:rPr>
        <w:t xml:space="preserve"> </w:t>
      </w:r>
    </w:p>
    <w:p w:rsidR="00DE2DDE" w:rsidRDefault="00DE2DDE" w:rsidP="00DE2DDE">
      <w:pPr>
        <w:spacing w:line="254" w:lineRule="auto"/>
        <w:ind w:left="53"/>
        <w:jc w:val="center"/>
        <w:rPr>
          <w:color w:val="000000"/>
          <w:lang w:val="de-DE" w:eastAsia="de-DE"/>
        </w:rPr>
      </w:pPr>
      <w:r>
        <w:rPr>
          <w:b/>
          <w:color w:val="000000"/>
          <w:lang w:val="de-DE" w:eastAsia="de-DE"/>
        </w:rPr>
        <w:t xml:space="preserve"> </w:t>
      </w:r>
    </w:p>
    <w:p w:rsidR="00DE2DDE" w:rsidRDefault="00DE2DDE" w:rsidP="00DE2DDE">
      <w:pPr>
        <w:spacing w:line="254" w:lineRule="auto"/>
        <w:ind w:left="53"/>
        <w:jc w:val="center"/>
        <w:rPr>
          <w:color w:val="000000"/>
          <w:lang w:val="de-DE" w:eastAsia="de-DE"/>
        </w:rPr>
      </w:pPr>
      <w:r>
        <w:rPr>
          <w:b/>
          <w:color w:val="000000"/>
          <w:lang w:val="de-DE" w:eastAsia="de-DE"/>
        </w:rPr>
        <w:t xml:space="preserve"> </w:t>
      </w:r>
    </w:p>
    <w:p w:rsidR="00DE2DDE" w:rsidRDefault="00DE2DDE" w:rsidP="00DE2DDE">
      <w:pPr>
        <w:spacing w:line="254" w:lineRule="auto"/>
        <w:ind w:left="53"/>
        <w:jc w:val="center"/>
        <w:rPr>
          <w:color w:val="000000"/>
          <w:lang w:val="de-DE" w:eastAsia="de-DE"/>
        </w:rPr>
      </w:pPr>
      <w:r>
        <w:rPr>
          <w:b/>
          <w:color w:val="000000"/>
          <w:lang w:val="de-DE" w:eastAsia="de-DE"/>
        </w:rPr>
        <w:t xml:space="preserve"> </w:t>
      </w:r>
    </w:p>
    <w:p w:rsidR="00DE2DDE" w:rsidRDefault="00DE2DDE" w:rsidP="00DE2DDE">
      <w:pPr>
        <w:spacing w:line="254" w:lineRule="auto"/>
        <w:ind w:left="53"/>
        <w:jc w:val="center"/>
        <w:rPr>
          <w:color w:val="000000"/>
          <w:lang w:val="de-DE" w:eastAsia="de-DE"/>
        </w:rPr>
      </w:pPr>
      <w:r>
        <w:rPr>
          <w:b/>
          <w:color w:val="000000"/>
          <w:lang w:val="de-DE" w:eastAsia="de-DE"/>
        </w:rPr>
        <w:t xml:space="preserve"> </w:t>
      </w:r>
    </w:p>
    <w:p w:rsidR="00DE2DDE" w:rsidRDefault="00DE2DDE" w:rsidP="00DE2DDE">
      <w:pPr>
        <w:spacing w:line="254" w:lineRule="auto"/>
        <w:ind w:left="53"/>
        <w:jc w:val="center"/>
        <w:rPr>
          <w:color w:val="000000"/>
          <w:lang w:val="de-DE" w:eastAsia="de-DE"/>
        </w:rPr>
      </w:pPr>
      <w:r>
        <w:rPr>
          <w:b/>
          <w:color w:val="000000"/>
          <w:lang w:val="de-DE" w:eastAsia="de-DE"/>
        </w:rPr>
        <w:t xml:space="preserve"> </w:t>
      </w:r>
    </w:p>
    <w:p w:rsidR="00DE2DDE" w:rsidRDefault="00DE2DDE" w:rsidP="00DE2DDE">
      <w:pPr>
        <w:spacing w:line="254" w:lineRule="auto"/>
        <w:ind w:left="53"/>
        <w:jc w:val="center"/>
        <w:rPr>
          <w:color w:val="000000"/>
          <w:lang w:val="de-DE" w:eastAsia="de-DE"/>
        </w:rPr>
      </w:pPr>
      <w:r>
        <w:rPr>
          <w:b/>
          <w:color w:val="000000"/>
          <w:lang w:val="de-DE" w:eastAsia="de-DE"/>
        </w:rPr>
        <w:t xml:space="preserve"> </w:t>
      </w:r>
    </w:p>
    <w:p w:rsidR="00DE2DDE" w:rsidRDefault="00DE2DDE" w:rsidP="00DE2DDE">
      <w:pPr>
        <w:spacing w:line="254" w:lineRule="auto"/>
        <w:ind w:left="53"/>
        <w:jc w:val="center"/>
        <w:rPr>
          <w:color w:val="000000"/>
          <w:lang w:val="de-DE" w:eastAsia="de-DE"/>
        </w:rPr>
      </w:pPr>
      <w:r>
        <w:rPr>
          <w:b/>
          <w:color w:val="000000"/>
          <w:lang w:val="de-DE" w:eastAsia="de-DE"/>
        </w:rPr>
        <w:t xml:space="preserve"> </w:t>
      </w:r>
    </w:p>
    <w:p w:rsidR="00DE2DDE" w:rsidRDefault="00DE2DDE" w:rsidP="00DE2DDE">
      <w:pPr>
        <w:spacing w:line="254" w:lineRule="auto"/>
        <w:ind w:left="53"/>
        <w:jc w:val="center"/>
        <w:rPr>
          <w:color w:val="000000"/>
          <w:lang w:val="de-DE" w:eastAsia="de-DE"/>
        </w:rPr>
      </w:pPr>
      <w:r>
        <w:rPr>
          <w:b/>
          <w:color w:val="000000"/>
          <w:lang w:val="de-DE" w:eastAsia="de-DE"/>
        </w:rPr>
        <w:t xml:space="preserve"> </w:t>
      </w:r>
    </w:p>
    <w:p w:rsidR="00DE2DDE" w:rsidRDefault="00DE2DDE" w:rsidP="00DE2DDE">
      <w:pPr>
        <w:spacing w:line="254" w:lineRule="auto"/>
        <w:ind w:left="53"/>
        <w:jc w:val="center"/>
        <w:rPr>
          <w:color w:val="000000"/>
          <w:lang w:val="de-DE" w:eastAsia="de-DE"/>
        </w:rPr>
      </w:pPr>
      <w:r>
        <w:rPr>
          <w:b/>
          <w:color w:val="000000"/>
          <w:lang w:val="de-DE" w:eastAsia="de-DE"/>
        </w:rPr>
        <w:t xml:space="preserve"> </w:t>
      </w:r>
    </w:p>
    <w:p w:rsidR="00DE2DDE" w:rsidRDefault="00DE2DDE" w:rsidP="00DE2DDE">
      <w:pPr>
        <w:spacing w:after="58" w:line="254" w:lineRule="auto"/>
        <w:ind w:left="53"/>
        <w:jc w:val="center"/>
        <w:rPr>
          <w:color w:val="000000"/>
          <w:lang w:val="de-DE" w:eastAsia="de-DE"/>
        </w:rPr>
      </w:pPr>
      <w:r>
        <w:rPr>
          <w:b/>
          <w:color w:val="000000"/>
          <w:lang w:val="de-DE" w:eastAsia="de-DE"/>
        </w:rPr>
        <w:t xml:space="preserve"> </w:t>
      </w:r>
    </w:p>
    <w:p w:rsidR="00DE2DDE" w:rsidRDefault="00DE2DDE" w:rsidP="00DE2DDE">
      <w:pPr>
        <w:spacing w:after="3" w:line="264" w:lineRule="auto"/>
        <w:ind w:left="3968" w:right="58" w:hanging="10"/>
        <w:rPr>
          <w:color w:val="000000"/>
          <w:lang w:val="de-DE" w:eastAsia="de-DE"/>
        </w:rPr>
      </w:pPr>
      <w:r>
        <w:rPr>
          <w:b/>
          <w:color w:val="000000"/>
          <w:lang w:val="de-DE" w:eastAsia="de-DE"/>
        </w:rPr>
        <w:t xml:space="preserve">PŘÍLOHA I </w:t>
      </w:r>
    </w:p>
    <w:p w:rsidR="00DE2DDE" w:rsidRDefault="00DE2DDE" w:rsidP="00DE2DDE">
      <w:pPr>
        <w:spacing w:after="60" w:line="254" w:lineRule="auto"/>
        <w:ind w:left="54"/>
        <w:jc w:val="center"/>
        <w:rPr>
          <w:color w:val="000000"/>
          <w:lang w:val="de-DE" w:eastAsia="de-DE"/>
        </w:rPr>
      </w:pPr>
      <w:r>
        <w:rPr>
          <w:b/>
          <w:color w:val="000000"/>
          <w:lang w:val="de-DE" w:eastAsia="de-DE"/>
        </w:rPr>
        <w:t xml:space="preserve"> </w:t>
      </w:r>
    </w:p>
    <w:p w:rsidR="00DE2DDE" w:rsidRDefault="00DE2DDE" w:rsidP="00DE2DDE">
      <w:pPr>
        <w:spacing w:line="254" w:lineRule="auto"/>
        <w:ind w:left="10" w:right="2870" w:hanging="10"/>
        <w:jc w:val="right"/>
        <w:rPr>
          <w:color w:val="000000"/>
          <w:lang w:val="de-DE" w:eastAsia="de-DE"/>
        </w:rPr>
      </w:pPr>
      <w:r>
        <w:rPr>
          <w:b/>
          <w:color w:val="000000"/>
          <w:lang w:val="de-DE" w:eastAsia="de-DE"/>
        </w:rPr>
        <w:t xml:space="preserve">SOUHRN ÚDAJŮ O PŘÍPRAVKU </w:t>
      </w:r>
    </w:p>
    <w:p w:rsidR="00DE2DDE" w:rsidRDefault="00DE2DDE" w:rsidP="00DE2DDE">
      <w:pPr>
        <w:spacing w:line="235" w:lineRule="auto"/>
        <w:ind w:left="1" w:right="6149"/>
        <w:jc w:val="both"/>
        <w:rPr>
          <w:color w:val="000000"/>
          <w:lang w:val="de-DE" w:eastAsia="de-DE"/>
        </w:rPr>
      </w:pPr>
      <w:r>
        <w:rPr>
          <w:color w:val="000000"/>
          <w:lang w:val="de-DE" w:eastAsia="de-DE"/>
        </w:rPr>
        <w:t xml:space="preserve">  </w:t>
      </w:r>
      <w:r>
        <w:rPr>
          <w:color w:val="000000"/>
          <w:lang w:val="de-DE" w:eastAsia="de-DE"/>
        </w:rPr>
        <w:tab/>
        <w:t xml:space="preserve"> </w:t>
      </w:r>
      <w:r>
        <w:rPr>
          <w:color w:val="000000"/>
          <w:lang w:val="de-DE" w:eastAsia="de-DE"/>
        </w:rPr>
        <w:br w:type="page"/>
      </w:r>
    </w:p>
    <w:p w:rsidR="00DE2DDE" w:rsidRDefault="00DE2DDE" w:rsidP="00DE2DDE">
      <w:pPr>
        <w:tabs>
          <w:tab w:val="center" w:pos="3242"/>
        </w:tabs>
        <w:spacing w:after="3" w:line="264" w:lineRule="auto"/>
        <w:ind w:left="-14" w:firstLine="14"/>
        <w:rPr>
          <w:color w:val="000000"/>
          <w:lang w:eastAsia="de-DE"/>
        </w:rPr>
      </w:pPr>
      <w:r>
        <w:rPr>
          <w:b/>
          <w:color w:val="000000"/>
          <w:lang w:eastAsia="de-DE"/>
        </w:rPr>
        <w:lastRenderedPageBreak/>
        <w:t>1.</w:t>
      </w:r>
      <w:r>
        <w:rPr>
          <w:b/>
          <w:color w:val="000000"/>
          <w:lang w:eastAsia="de-DE"/>
        </w:rPr>
        <w:tab/>
        <w:t>NÁZEV VETERINÁRNÍHO LÉČIVÉHO PŘÍPRAVKU</w:t>
      </w:r>
      <w:r>
        <w:rPr>
          <w:color w:val="000000"/>
          <w:lang w:eastAsia="de-DE"/>
        </w:rPr>
        <w:t xml:space="preserve"> </w:t>
      </w:r>
    </w:p>
    <w:p w:rsidR="00DE2DDE" w:rsidRDefault="00DE2DDE" w:rsidP="00DE2DDE">
      <w:pPr>
        <w:spacing w:after="40" w:line="254" w:lineRule="auto"/>
        <w:ind w:left="1"/>
        <w:rPr>
          <w:color w:val="000000"/>
          <w:lang w:eastAsia="de-DE"/>
        </w:rPr>
      </w:pPr>
      <w:r>
        <w:rPr>
          <w:color w:val="000000"/>
          <w:lang w:eastAsia="de-DE"/>
        </w:rPr>
        <w:t xml:space="preserve"> </w:t>
      </w:r>
    </w:p>
    <w:p w:rsidR="00DE2DDE" w:rsidRDefault="00DE2DDE" w:rsidP="00DE2DDE">
      <w:pPr>
        <w:spacing w:after="5" w:line="264" w:lineRule="auto"/>
        <w:ind w:left="-4" w:hanging="10"/>
        <w:rPr>
          <w:color w:val="000000"/>
          <w:lang w:eastAsia="de-DE"/>
        </w:rPr>
      </w:pPr>
      <w:r>
        <w:rPr>
          <w:color w:val="000000"/>
          <w:lang w:eastAsia="de-DE"/>
        </w:rPr>
        <w:t xml:space="preserve">Tullavis 100 mg/ml injekční roztok pro skot, prasata a ovce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keepNext/>
        <w:keepLines/>
        <w:tabs>
          <w:tab w:val="center" w:pos="2959"/>
        </w:tabs>
        <w:spacing w:after="10" w:line="244" w:lineRule="auto"/>
        <w:ind w:left="-14" w:firstLine="14"/>
        <w:outlineLvl w:val="0"/>
        <w:rPr>
          <w:b/>
          <w:color w:val="000000"/>
          <w:lang w:eastAsia="de-DE"/>
        </w:rPr>
      </w:pPr>
      <w:r>
        <w:rPr>
          <w:b/>
          <w:color w:val="000000"/>
          <w:lang w:eastAsia="de-DE"/>
        </w:rPr>
        <w:t>2.</w:t>
      </w:r>
      <w:r>
        <w:rPr>
          <w:b/>
          <w:color w:val="000000"/>
          <w:lang w:eastAsia="de-DE"/>
        </w:rPr>
        <w:tab/>
        <w:t>KVALITATIVNÍ A KVANTITATIVNÍ SLOŽENÍ</w:t>
      </w:r>
      <w:r>
        <w:rPr>
          <w:color w:val="000000"/>
          <w:lang w:eastAsia="de-DE"/>
        </w:rPr>
        <w:t xml:space="preserve">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spacing w:after="13" w:line="244" w:lineRule="auto"/>
        <w:ind w:left="-4" w:hanging="10"/>
        <w:rPr>
          <w:color w:val="000000"/>
          <w:lang w:eastAsia="de-DE"/>
        </w:rPr>
      </w:pPr>
      <w:r>
        <w:rPr>
          <w:color w:val="000000"/>
          <w:lang w:eastAsia="de-DE"/>
        </w:rPr>
        <w:t xml:space="preserve">Každý ml obsahuje: </w:t>
      </w:r>
    </w:p>
    <w:p w:rsidR="00DE2DDE" w:rsidRDefault="00DE2DDE" w:rsidP="00DE2DDE">
      <w:pPr>
        <w:spacing w:after="56" w:line="254" w:lineRule="auto"/>
        <w:ind w:left="1"/>
        <w:rPr>
          <w:color w:val="000000"/>
          <w:lang w:eastAsia="de-DE"/>
        </w:rPr>
      </w:pPr>
      <w:r>
        <w:rPr>
          <w:b/>
          <w:color w:val="000000"/>
          <w:lang w:eastAsia="de-DE"/>
        </w:rPr>
        <w:t xml:space="preserve"> </w:t>
      </w:r>
    </w:p>
    <w:p w:rsidR="00DE2DDE" w:rsidRDefault="00DE2DDE" w:rsidP="00DE2DDE">
      <w:pPr>
        <w:spacing w:after="3" w:line="264" w:lineRule="auto"/>
        <w:ind w:left="-4" w:right="58" w:hanging="10"/>
        <w:rPr>
          <w:color w:val="000000"/>
          <w:lang w:eastAsia="de-DE"/>
        </w:rPr>
      </w:pPr>
      <w:r>
        <w:rPr>
          <w:b/>
          <w:color w:val="000000"/>
          <w:lang w:eastAsia="de-DE"/>
        </w:rPr>
        <w:t xml:space="preserve">Léčivá látka: </w:t>
      </w:r>
    </w:p>
    <w:p w:rsidR="00DE2DDE" w:rsidRDefault="00DE2DDE" w:rsidP="00DE2DDE">
      <w:pPr>
        <w:tabs>
          <w:tab w:val="center" w:pos="2602"/>
        </w:tabs>
        <w:spacing w:after="13" w:line="244" w:lineRule="auto"/>
        <w:ind w:left="-14" w:firstLine="14"/>
        <w:rPr>
          <w:color w:val="000000"/>
          <w:lang w:eastAsia="de-DE"/>
        </w:rPr>
      </w:pPr>
      <w:r>
        <w:rPr>
          <w:color w:val="000000"/>
          <w:lang w:eastAsia="de-DE"/>
        </w:rPr>
        <w:t xml:space="preserve">Tulathromycinum  </w:t>
      </w:r>
      <w:r>
        <w:rPr>
          <w:color w:val="000000"/>
          <w:lang w:eastAsia="de-DE"/>
        </w:rPr>
        <w:tab/>
        <w:t>100 mg</w:t>
      </w:r>
      <w:r>
        <w:rPr>
          <w:b/>
          <w:color w:val="000000"/>
          <w:lang w:eastAsia="de-DE"/>
        </w:rPr>
        <w:t xml:space="preserve">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spacing w:after="10" w:line="244" w:lineRule="auto"/>
        <w:ind w:left="-4" w:hanging="10"/>
        <w:rPr>
          <w:color w:val="000000"/>
          <w:lang w:eastAsia="de-DE"/>
        </w:rPr>
      </w:pPr>
      <w:r>
        <w:rPr>
          <w:b/>
          <w:color w:val="000000"/>
          <w:lang w:eastAsia="de-DE"/>
        </w:rPr>
        <w:t xml:space="preserve">Pomocné látky: </w:t>
      </w:r>
    </w:p>
    <w:p w:rsidR="00DE2DDE" w:rsidRDefault="00DE2DDE" w:rsidP="00DE2DDE">
      <w:pPr>
        <w:tabs>
          <w:tab w:val="center" w:pos="1702"/>
          <w:tab w:val="center" w:pos="2492"/>
        </w:tabs>
        <w:spacing w:after="13" w:line="244" w:lineRule="auto"/>
        <w:ind w:left="-14" w:firstLine="14"/>
        <w:rPr>
          <w:color w:val="000000"/>
          <w:lang w:eastAsia="de-DE"/>
        </w:rPr>
      </w:pPr>
      <w:r>
        <w:rPr>
          <w:color w:val="000000"/>
          <w:lang w:eastAsia="de-DE"/>
        </w:rPr>
        <w:t xml:space="preserve">Thioglycerol </w:t>
      </w:r>
      <w:r>
        <w:rPr>
          <w:color w:val="000000"/>
          <w:lang w:eastAsia="de-DE"/>
        </w:rPr>
        <w:tab/>
        <w:t xml:space="preserve"> </w:t>
      </w:r>
      <w:r>
        <w:rPr>
          <w:color w:val="000000"/>
          <w:lang w:eastAsia="de-DE"/>
        </w:rPr>
        <w:tab/>
        <w:t xml:space="preserve">5 mg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spacing w:after="13" w:line="244" w:lineRule="auto"/>
        <w:ind w:left="-4" w:hanging="10"/>
        <w:rPr>
          <w:color w:val="000000"/>
          <w:lang w:eastAsia="de-DE"/>
        </w:rPr>
      </w:pPr>
      <w:r>
        <w:rPr>
          <w:color w:val="000000"/>
          <w:lang w:eastAsia="de-DE"/>
        </w:rPr>
        <w:t xml:space="preserve">Úplný seznam pomocných látek viz bod 6.1.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keepNext/>
        <w:keepLines/>
        <w:tabs>
          <w:tab w:val="center" w:pos="1488"/>
        </w:tabs>
        <w:spacing w:after="10" w:line="244" w:lineRule="auto"/>
        <w:ind w:left="-14" w:firstLine="14"/>
        <w:outlineLvl w:val="0"/>
        <w:rPr>
          <w:b/>
          <w:color w:val="000000"/>
          <w:lang w:eastAsia="de-DE"/>
        </w:rPr>
      </w:pPr>
      <w:r>
        <w:rPr>
          <w:b/>
          <w:color w:val="000000"/>
          <w:lang w:eastAsia="de-DE"/>
        </w:rPr>
        <w:t>3.</w:t>
      </w:r>
      <w:r>
        <w:rPr>
          <w:b/>
          <w:color w:val="000000"/>
          <w:lang w:eastAsia="de-DE"/>
        </w:rPr>
        <w:tab/>
        <w:t xml:space="preserve">LÉKOVÁ FORMA </w:t>
      </w:r>
    </w:p>
    <w:p w:rsidR="00DE2DDE" w:rsidRDefault="00DE2DDE" w:rsidP="00DE2DDE">
      <w:pPr>
        <w:spacing w:after="47" w:line="254" w:lineRule="auto"/>
        <w:ind w:left="1"/>
        <w:rPr>
          <w:color w:val="000000"/>
          <w:lang w:eastAsia="de-DE"/>
        </w:rPr>
      </w:pPr>
      <w:r>
        <w:rPr>
          <w:b/>
          <w:color w:val="000000"/>
          <w:lang w:eastAsia="de-DE"/>
        </w:rPr>
        <w:t xml:space="preserve"> </w:t>
      </w:r>
    </w:p>
    <w:p w:rsidR="00DE2DDE" w:rsidRDefault="00DE2DDE" w:rsidP="00DE2DDE">
      <w:pPr>
        <w:spacing w:after="66" w:line="264" w:lineRule="auto"/>
        <w:ind w:left="-4" w:hanging="10"/>
        <w:rPr>
          <w:color w:val="000000"/>
          <w:lang w:eastAsia="de-DE"/>
        </w:rPr>
      </w:pPr>
      <w:r>
        <w:rPr>
          <w:color w:val="000000"/>
          <w:lang w:eastAsia="de-DE"/>
        </w:rPr>
        <w:t xml:space="preserve">Injekční roztok. </w:t>
      </w:r>
    </w:p>
    <w:p w:rsidR="00DE2DDE" w:rsidRDefault="00DE2DDE" w:rsidP="00DE2DDE">
      <w:pPr>
        <w:spacing w:line="254" w:lineRule="auto"/>
        <w:ind w:left="1" w:hanging="1"/>
        <w:rPr>
          <w:color w:val="000000"/>
          <w:lang w:eastAsia="de-DE"/>
        </w:rPr>
      </w:pPr>
      <w:r>
        <w:rPr>
          <w:color w:val="000000"/>
          <w:lang w:eastAsia="de-DE"/>
        </w:rPr>
        <w:t xml:space="preserve">Čirý bezbarvý až nažloutlý roztok.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keepNext/>
        <w:keepLines/>
        <w:tabs>
          <w:tab w:val="center" w:pos="1525"/>
        </w:tabs>
        <w:spacing w:after="10" w:line="244" w:lineRule="auto"/>
        <w:ind w:left="-14" w:firstLine="14"/>
        <w:outlineLvl w:val="0"/>
        <w:rPr>
          <w:b/>
          <w:color w:val="000000"/>
          <w:lang w:eastAsia="de-DE"/>
        </w:rPr>
      </w:pPr>
      <w:r>
        <w:rPr>
          <w:b/>
          <w:color w:val="000000"/>
          <w:lang w:eastAsia="de-DE"/>
        </w:rPr>
        <w:t>4.</w:t>
      </w:r>
      <w:r>
        <w:rPr>
          <w:b/>
          <w:color w:val="000000"/>
          <w:lang w:eastAsia="de-DE"/>
        </w:rPr>
        <w:tab/>
        <w:t>KLINICKÉ ÚDAJE</w:t>
      </w:r>
      <w:r>
        <w:rPr>
          <w:color w:val="000000"/>
          <w:lang w:eastAsia="de-DE"/>
        </w:rPr>
        <w:t xml:space="preserve"> </w:t>
      </w:r>
    </w:p>
    <w:p w:rsidR="00DE2DDE" w:rsidRDefault="00DE2DDE" w:rsidP="00DE2DDE">
      <w:pPr>
        <w:spacing w:after="50" w:line="254" w:lineRule="auto"/>
        <w:ind w:left="1"/>
        <w:rPr>
          <w:color w:val="000000"/>
          <w:lang w:eastAsia="de-DE"/>
        </w:rPr>
      </w:pPr>
      <w:r>
        <w:rPr>
          <w:color w:val="000000"/>
          <w:lang w:eastAsia="de-DE"/>
        </w:rPr>
        <w:t xml:space="preserve"> </w:t>
      </w:r>
    </w:p>
    <w:p w:rsidR="00DE2DDE" w:rsidRDefault="00DE2DDE" w:rsidP="00DE2DDE">
      <w:pPr>
        <w:tabs>
          <w:tab w:val="center" w:pos="1485"/>
        </w:tabs>
        <w:spacing w:after="3" w:line="264" w:lineRule="auto"/>
        <w:ind w:left="-14" w:firstLine="14"/>
        <w:rPr>
          <w:color w:val="000000"/>
          <w:lang w:eastAsia="de-DE"/>
        </w:rPr>
      </w:pPr>
      <w:r>
        <w:rPr>
          <w:b/>
          <w:color w:val="000000"/>
          <w:lang w:eastAsia="de-DE"/>
        </w:rPr>
        <w:t>4.1</w:t>
      </w:r>
      <w:r>
        <w:rPr>
          <w:b/>
          <w:color w:val="000000"/>
          <w:lang w:eastAsia="de-DE"/>
        </w:rPr>
        <w:tab/>
        <w:t xml:space="preserve">Cílové druhy zvířat </w:t>
      </w:r>
    </w:p>
    <w:p w:rsidR="00DE2DDE" w:rsidRDefault="00DE2DDE" w:rsidP="00DE2DDE">
      <w:pPr>
        <w:spacing w:line="254" w:lineRule="auto"/>
        <w:rPr>
          <w:color w:val="000000"/>
          <w:lang w:eastAsia="de-DE"/>
        </w:rPr>
      </w:pPr>
      <w:r>
        <w:rPr>
          <w:b/>
          <w:color w:val="000000"/>
          <w:lang w:eastAsia="de-DE"/>
        </w:rPr>
        <w:t xml:space="preserve"> </w:t>
      </w:r>
    </w:p>
    <w:p w:rsidR="00DE2DDE" w:rsidRDefault="00DE2DDE" w:rsidP="00DE2DDE">
      <w:pPr>
        <w:spacing w:after="13" w:line="244" w:lineRule="auto"/>
        <w:ind w:left="-4" w:hanging="10"/>
        <w:rPr>
          <w:color w:val="000000"/>
          <w:lang w:eastAsia="de-DE"/>
        </w:rPr>
      </w:pPr>
      <w:r>
        <w:rPr>
          <w:color w:val="000000"/>
          <w:lang w:eastAsia="de-DE"/>
        </w:rPr>
        <w:t xml:space="preserve">Skot, prasata a ovce. </w:t>
      </w:r>
    </w:p>
    <w:p w:rsidR="00DE2DDE" w:rsidRDefault="00DE2DDE" w:rsidP="00DE2DDE">
      <w:pPr>
        <w:spacing w:after="42" w:line="254" w:lineRule="auto"/>
        <w:rPr>
          <w:color w:val="000000"/>
          <w:lang w:eastAsia="de-DE"/>
        </w:rPr>
      </w:pPr>
      <w:r>
        <w:rPr>
          <w:color w:val="000000"/>
          <w:lang w:eastAsia="de-DE"/>
        </w:rPr>
        <w:t xml:space="preserve"> </w:t>
      </w:r>
    </w:p>
    <w:p w:rsidR="00DE2DDE" w:rsidRDefault="00DE2DDE" w:rsidP="00DE2DDE">
      <w:pPr>
        <w:tabs>
          <w:tab w:val="center" w:pos="2688"/>
        </w:tabs>
        <w:spacing w:after="3" w:line="264" w:lineRule="auto"/>
        <w:ind w:left="-14" w:firstLine="14"/>
        <w:rPr>
          <w:color w:val="000000"/>
          <w:lang w:eastAsia="de-DE"/>
        </w:rPr>
      </w:pPr>
      <w:r>
        <w:rPr>
          <w:b/>
          <w:color w:val="000000"/>
          <w:lang w:eastAsia="de-DE"/>
        </w:rPr>
        <w:t>4.2</w:t>
      </w:r>
      <w:r>
        <w:rPr>
          <w:b/>
          <w:color w:val="000000"/>
          <w:lang w:eastAsia="de-DE"/>
        </w:rPr>
        <w:tab/>
        <w:t xml:space="preserve">Indikace s upřesněním pro cílový druh zvířat </w:t>
      </w:r>
      <w:r>
        <w:rPr>
          <w:color w:val="000000"/>
          <w:lang w:eastAsia="de-DE"/>
        </w:rPr>
        <w:t xml:space="preserve"> </w:t>
      </w:r>
    </w:p>
    <w:p w:rsidR="00DE2DDE" w:rsidRDefault="00DE2DDE" w:rsidP="00DE2DDE">
      <w:pPr>
        <w:spacing w:line="254" w:lineRule="auto"/>
        <w:rPr>
          <w:color w:val="000000"/>
          <w:lang w:eastAsia="de-DE"/>
        </w:rPr>
      </w:pPr>
      <w:r>
        <w:rPr>
          <w:color w:val="000000"/>
          <w:lang w:eastAsia="de-DE"/>
        </w:rPr>
        <w:t xml:space="preserve"> </w:t>
      </w:r>
    </w:p>
    <w:p w:rsidR="00DE2DDE" w:rsidRDefault="00DE2DDE" w:rsidP="00DE2DDE">
      <w:pPr>
        <w:keepNext/>
        <w:keepLines/>
        <w:spacing w:after="30" w:line="254" w:lineRule="auto"/>
        <w:ind w:left="-4" w:hanging="10"/>
        <w:outlineLvl w:val="1"/>
        <w:rPr>
          <w:color w:val="000000"/>
          <w:shd w:val="clear" w:color="auto" w:fill="C1C2C2"/>
          <w:lang w:eastAsia="de-DE"/>
        </w:rPr>
      </w:pPr>
      <w:r>
        <w:rPr>
          <w:color w:val="000000"/>
          <w:u w:val="single" w:color="000000"/>
          <w:lang w:eastAsia="de-DE"/>
        </w:rPr>
        <w:t>Skot</w:t>
      </w:r>
      <w:r>
        <w:rPr>
          <w:color w:val="000000"/>
          <w:lang w:eastAsia="de-DE"/>
        </w:rPr>
        <w:t xml:space="preserve">  </w:t>
      </w:r>
    </w:p>
    <w:p w:rsidR="00DE2DDE" w:rsidRDefault="00DE2DDE" w:rsidP="00DE2DDE">
      <w:pPr>
        <w:spacing w:after="44" w:line="264" w:lineRule="auto"/>
        <w:ind w:left="-4" w:hanging="10"/>
        <w:jc w:val="both"/>
        <w:rPr>
          <w:color w:val="000000"/>
          <w:lang w:eastAsia="de-DE"/>
        </w:rPr>
      </w:pPr>
      <w:r>
        <w:rPr>
          <w:color w:val="000000"/>
          <w:lang w:eastAsia="de-DE"/>
        </w:rPr>
        <w:t xml:space="preserve">Léčba a metafylaxe bovinní respirační choroby (BRD) vyvolané </w:t>
      </w:r>
      <w:r>
        <w:rPr>
          <w:i/>
          <w:color w:val="000000"/>
          <w:lang w:eastAsia="de-DE"/>
        </w:rPr>
        <w:t xml:space="preserve">Mannheimia haemolytica, Pasteurella multocida, Histophilus somni </w:t>
      </w:r>
      <w:r>
        <w:rPr>
          <w:color w:val="000000"/>
          <w:lang w:eastAsia="de-DE"/>
        </w:rPr>
        <w:t xml:space="preserve">a </w:t>
      </w:r>
      <w:r>
        <w:rPr>
          <w:i/>
          <w:color w:val="000000"/>
          <w:lang w:eastAsia="de-DE"/>
        </w:rPr>
        <w:t xml:space="preserve">Mycoplasma bovis </w:t>
      </w:r>
      <w:r>
        <w:rPr>
          <w:color w:val="000000"/>
          <w:lang w:eastAsia="de-DE"/>
        </w:rPr>
        <w:t xml:space="preserve">citlivými k tulathromycinu. Přítomnost onemocnění ve skupině musí být stanovena před použitím přípravku. Léčba infekční bovinní keratokonjunktivitidy (IBK) vyvolanou </w:t>
      </w:r>
      <w:r>
        <w:rPr>
          <w:i/>
          <w:color w:val="000000"/>
          <w:lang w:eastAsia="de-DE"/>
        </w:rPr>
        <w:t xml:space="preserve">Moraxella bovis </w:t>
      </w:r>
      <w:r>
        <w:rPr>
          <w:color w:val="000000"/>
          <w:lang w:eastAsia="de-DE"/>
        </w:rPr>
        <w:t xml:space="preserve">citlivou k tulathromycinu.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keepNext/>
        <w:keepLines/>
        <w:spacing w:after="42" w:line="254" w:lineRule="auto"/>
        <w:ind w:left="-4" w:hanging="10"/>
        <w:outlineLvl w:val="1"/>
        <w:rPr>
          <w:color w:val="000000"/>
          <w:shd w:val="clear" w:color="auto" w:fill="C1C2C2"/>
          <w:lang w:eastAsia="de-DE"/>
        </w:rPr>
      </w:pPr>
      <w:r>
        <w:rPr>
          <w:color w:val="000000"/>
          <w:u w:val="single" w:color="000000"/>
          <w:lang w:eastAsia="de-DE"/>
        </w:rPr>
        <w:t>Prasata</w:t>
      </w:r>
      <w:r>
        <w:rPr>
          <w:color w:val="000000"/>
          <w:lang w:eastAsia="de-DE"/>
        </w:rPr>
        <w:t xml:space="preserve">  </w:t>
      </w:r>
    </w:p>
    <w:p w:rsidR="00DE2DDE" w:rsidRDefault="00DE2DDE" w:rsidP="00DE2DDE">
      <w:pPr>
        <w:spacing w:after="5" w:line="264" w:lineRule="auto"/>
        <w:ind w:left="-4" w:hanging="10"/>
        <w:jc w:val="both"/>
        <w:rPr>
          <w:color w:val="000000"/>
          <w:lang w:eastAsia="de-DE"/>
        </w:rPr>
      </w:pPr>
      <w:r>
        <w:rPr>
          <w:color w:val="000000"/>
          <w:lang w:eastAsia="de-DE"/>
        </w:rPr>
        <w:t xml:space="preserve">Léčba a metafylaxe respiračního onemocnění prasat (SRD) vyvolaného </w:t>
      </w:r>
      <w:r>
        <w:rPr>
          <w:i/>
          <w:color w:val="000000"/>
          <w:lang w:eastAsia="de-DE"/>
        </w:rPr>
        <w:t>Actinobacillus pleuropneumoniae</w:t>
      </w:r>
      <w:r>
        <w:rPr>
          <w:color w:val="000000"/>
          <w:lang w:eastAsia="de-DE"/>
        </w:rPr>
        <w:t xml:space="preserve">, </w:t>
      </w:r>
      <w:r>
        <w:rPr>
          <w:i/>
          <w:color w:val="000000"/>
          <w:lang w:eastAsia="de-DE"/>
        </w:rPr>
        <w:t>Pasteurella multocida, Mycoplasma hyopneumoniae</w:t>
      </w:r>
      <w:r>
        <w:rPr>
          <w:color w:val="000000"/>
          <w:lang w:eastAsia="de-DE"/>
        </w:rPr>
        <w:t xml:space="preserve">, </w:t>
      </w:r>
      <w:r>
        <w:rPr>
          <w:i/>
          <w:color w:val="000000"/>
          <w:lang w:eastAsia="de-DE"/>
        </w:rPr>
        <w:t xml:space="preserve">Haemophilus parasuis </w:t>
      </w:r>
      <w:r>
        <w:rPr>
          <w:color w:val="000000"/>
          <w:lang w:eastAsia="de-DE"/>
        </w:rPr>
        <w:t xml:space="preserve">a </w:t>
      </w:r>
      <w:r>
        <w:rPr>
          <w:i/>
          <w:color w:val="000000"/>
          <w:lang w:eastAsia="de-DE"/>
        </w:rPr>
        <w:t xml:space="preserve">Bordetella bronchiseptica </w:t>
      </w:r>
      <w:r>
        <w:rPr>
          <w:color w:val="000000"/>
          <w:lang w:eastAsia="de-DE"/>
        </w:rPr>
        <w:t xml:space="preserve">citlivými k tulathromycinu. </w:t>
      </w:r>
    </w:p>
    <w:p w:rsidR="00DE2DDE" w:rsidRDefault="00DE2DDE" w:rsidP="00DE2DDE">
      <w:pPr>
        <w:spacing w:after="5" w:line="264" w:lineRule="auto"/>
        <w:ind w:left="-4" w:hanging="10"/>
        <w:jc w:val="both"/>
        <w:rPr>
          <w:color w:val="000000"/>
          <w:lang w:eastAsia="de-DE"/>
        </w:rPr>
      </w:pPr>
      <w:r>
        <w:rPr>
          <w:color w:val="000000"/>
          <w:lang w:eastAsia="de-DE"/>
        </w:rPr>
        <w:t xml:space="preserve">Přítomnost onemocnění ve skupině musí být stanovena před použitím přípravku. Přípravek by měl být použit pouze v případě, když se u prasat očekává propuknutí onemocnění během 2-3 dnů.  </w:t>
      </w:r>
    </w:p>
    <w:p w:rsidR="00DE2DDE" w:rsidRDefault="00DE2DDE" w:rsidP="00DE2DDE">
      <w:pPr>
        <w:spacing w:line="254" w:lineRule="auto"/>
        <w:rPr>
          <w:color w:val="000000"/>
          <w:lang w:eastAsia="de-DE"/>
        </w:rPr>
      </w:pPr>
      <w:r>
        <w:rPr>
          <w:color w:val="000000"/>
          <w:lang w:eastAsia="de-DE"/>
        </w:rPr>
        <w:t xml:space="preserve"> </w:t>
      </w:r>
    </w:p>
    <w:p w:rsidR="00DE2DDE" w:rsidRDefault="00DE2DDE" w:rsidP="00DE2DDE">
      <w:pPr>
        <w:keepNext/>
        <w:keepLines/>
        <w:spacing w:line="254" w:lineRule="auto"/>
        <w:ind w:left="-4" w:hanging="10"/>
        <w:outlineLvl w:val="1"/>
        <w:rPr>
          <w:color w:val="000000"/>
          <w:shd w:val="clear" w:color="auto" w:fill="C1C2C2"/>
          <w:lang w:eastAsia="de-DE"/>
        </w:rPr>
      </w:pPr>
      <w:r>
        <w:rPr>
          <w:color w:val="000000"/>
          <w:u w:val="single" w:color="000000"/>
          <w:lang w:eastAsia="de-DE"/>
        </w:rPr>
        <w:t>Ovce</w:t>
      </w:r>
      <w:r>
        <w:rPr>
          <w:color w:val="000000"/>
          <w:lang w:eastAsia="de-DE"/>
        </w:rPr>
        <w:t xml:space="preserve">  </w:t>
      </w:r>
    </w:p>
    <w:p w:rsidR="00DE2DDE" w:rsidRDefault="00DE2DDE" w:rsidP="00DE2DDE">
      <w:pPr>
        <w:spacing w:after="5" w:line="264" w:lineRule="auto"/>
        <w:ind w:left="-4" w:right="-2" w:hanging="10"/>
        <w:jc w:val="both"/>
        <w:rPr>
          <w:color w:val="000000"/>
          <w:lang w:eastAsia="de-DE"/>
        </w:rPr>
      </w:pPr>
      <w:r>
        <w:rPr>
          <w:color w:val="000000"/>
          <w:lang w:eastAsia="de-DE"/>
        </w:rPr>
        <w:t xml:space="preserve">Léčba počáteční fáze infekční pododermatitidy (nekrobacilóza prstů) vyvolané virulentním </w:t>
      </w:r>
      <w:r>
        <w:rPr>
          <w:i/>
          <w:color w:val="000000"/>
          <w:lang w:eastAsia="de-DE"/>
        </w:rPr>
        <w:t xml:space="preserve">Dichelobacter nodosus </w:t>
      </w:r>
      <w:r>
        <w:rPr>
          <w:color w:val="000000"/>
          <w:lang w:eastAsia="de-DE"/>
        </w:rPr>
        <w:t xml:space="preserve">vyžadující systémovou léčbu.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keepNext/>
        <w:keepLines/>
        <w:tabs>
          <w:tab w:val="center" w:pos="1307"/>
        </w:tabs>
        <w:spacing w:after="10" w:line="244" w:lineRule="auto"/>
        <w:ind w:left="-14" w:firstLine="14"/>
        <w:outlineLvl w:val="2"/>
        <w:rPr>
          <w:b/>
          <w:color w:val="000000"/>
          <w:lang w:eastAsia="de-DE"/>
        </w:rPr>
      </w:pPr>
      <w:r>
        <w:rPr>
          <w:b/>
          <w:color w:val="000000"/>
          <w:lang w:eastAsia="de-DE"/>
        </w:rPr>
        <w:t>4.3</w:t>
      </w:r>
      <w:r>
        <w:rPr>
          <w:b/>
          <w:color w:val="000000"/>
          <w:lang w:eastAsia="de-DE"/>
        </w:rPr>
        <w:tab/>
        <w:t xml:space="preserve">Kontraindikace </w:t>
      </w:r>
    </w:p>
    <w:p w:rsidR="00DE2DDE" w:rsidRDefault="00DE2DDE" w:rsidP="00DE2DDE">
      <w:pPr>
        <w:spacing w:after="14" w:line="254" w:lineRule="auto"/>
        <w:ind w:left="1"/>
        <w:rPr>
          <w:color w:val="000000"/>
          <w:lang w:eastAsia="de-DE"/>
        </w:rPr>
      </w:pPr>
      <w:r>
        <w:rPr>
          <w:color w:val="000000"/>
          <w:lang w:eastAsia="de-DE"/>
        </w:rPr>
        <w:t xml:space="preserve"> </w:t>
      </w:r>
    </w:p>
    <w:p w:rsidR="00DE2DDE" w:rsidRDefault="00DE2DDE" w:rsidP="00DE2DDE">
      <w:pPr>
        <w:spacing w:after="5" w:line="314" w:lineRule="auto"/>
        <w:ind w:left="-4" w:hanging="10"/>
        <w:jc w:val="both"/>
        <w:rPr>
          <w:color w:val="000000"/>
          <w:lang w:eastAsia="de-DE"/>
        </w:rPr>
      </w:pPr>
      <w:r>
        <w:rPr>
          <w:color w:val="000000"/>
          <w:lang w:eastAsia="de-DE"/>
        </w:rPr>
        <w:lastRenderedPageBreak/>
        <w:t xml:space="preserve">Nepoužívat v případech přecitlivělosti k makrolidovým antibiotikům nebo na kteroukoli pomocnou látku. </w:t>
      </w:r>
    </w:p>
    <w:p w:rsidR="00DE2DDE" w:rsidRDefault="00DE2DDE" w:rsidP="00DE2DDE">
      <w:pPr>
        <w:spacing w:line="254" w:lineRule="auto"/>
        <w:ind w:left="1"/>
        <w:rPr>
          <w:color w:val="000000"/>
          <w:lang w:eastAsia="de-DE"/>
        </w:rPr>
      </w:pPr>
      <w:r>
        <w:rPr>
          <w:b/>
          <w:color w:val="000000"/>
          <w:lang w:eastAsia="de-DE"/>
        </w:rPr>
        <w:t xml:space="preserve">  </w:t>
      </w:r>
      <w:r>
        <w:rPr>
          <w:b/>
          <w:color w:val="000000"/>
          <w:lang w:eastAsia="de-DE"/>
        </w:rPr>
        <w:tab/>
        <w:t xml:space="preserve"> </w:t>
      </w:r>
    </w:p>
    <w:p w:rsidR="00DE2DDE" w:rsidRDefault="00DE2DDE" w:rsidP="00DE2DDE">
      <w:pPr>
        <w:keepNext/>
        <w:keepLines/>
        <w:tabs>
          <w:tab w:val="center" w:pos="2576"/>
        </w:tabs>
        <w:spacing w:after="3" w:line="264" w:lineRule="auto"/>
        <w:ind w:left="-14" w:firstLine="14"/>
        <w:outlineLvl w:val="2"/>
        <w:rPr>
          <w:b/>
          <w:color w:val="000000"/>
          <w:lang w:eastAsia="de-DE"/>
        </w:rPr>
      </w:pPr>
      <w:r>
        <w:rPr>
          <w:b/>
          <w:color w:val="000000"/>
          <w:lang w:eastAsia="de-DE"/>
        </w:rPr>
        <w:t>4.4</w:t>
      </w:r>
      <w:r>
        <w:rPr>
          <w:b/>
          <w:color w:val="000000"/>
          <w:lang w:eastAsia="de-DE"/>
        </w:rPr>
        <w:tab/>
        <w:t xml:space="preserve">Zvláštní upozornění pro každý cílový druh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spacing w:line="254" w:lineRule="auto"/>
        <w:ind w:left="-4" w:hanging="10"/>
        <w:jc w:val="both"/>
        <w:rPr>
          <w:color w:val="000000"/>
          <w:lang w:eastAsia="de-DE"/>
        </w:rPr>
      </w:pPr>
      <w:r>
        <w:rPr>
          <w:color w:val="000000"/>
          <w:lang w:eastAsia="de-DE"/>
        </w:rPr>
        <w:t>Vyskytuje se zkřížená rezistence s jinými makrolidy. Nepodávat současně s antimikrobiky s podobným mechanizmem účinku, jako jsou ostatní makrolidy anebo linkosamidy.</w:t>
      </w:r>
    </w:p>
    <w:p w:rsidR="00DE2DDE" w:rsidRDefault="00DE2DDE" w:rsidP="00DE2DDE">
      <w:pPr>
        <w:spacing w:line="254" w:lineRule="auto"/>
        <w:ind w:left="-4" w:hanging="10"/>
        <w:rPr>
          <w:color w:val="000000"/>
          <w:u w:val="single" w:color="000000"/>
          <w:lang w:eastAsia="de-DE"/>
        </w:rPr>
      </w:pPr>
    </w:p>
    <w:p w:rsidR="00DE2DDE" w:rsidRDefault="00DE2DDE" w:rsidP="00DE2DDE">
      <w:pPr>
        <w:spacing w:line="254" w:lineRule="auto"/>
        <w:ind w:left="-4" w:hanging="10"/>
        <w:rPr>
          <w:color w:val="000000"/>
          <w:lang w:eastAsia="de-DE"/>
        </w:rPr>
      </w:pPr>
      <w:r>
        <w:rPr>
          <w:color w:val="000000"/>
          <w:u w:val="single" w:color="000000"/>
          <w:lang w:eastAsia="de-DE"/>
        </w:rPr>
        <w:t>Ovce:</w:t>
      </w:r>
      <w:r>
        <w:rPr>
          <w:color w:val="000000"/>
          <w:lang w:eastAsia="de-DE"/>
        </w:rPr>
        <w:t xml:space="preserve">  </w:t>
      </w:r>
    </w:p>
    <w:p w:rsidR="00DE2DDE" w:rsidRDefault="00DE2DDE" w:rsidP="00DE2DDE">
      <w:pPr>
        <w:spacing w:after="42" w:line="264" w:lineRule="auto"/>
        <w:ind w:left="-4" w:hanging="10"/>
        <w:jc w:val="both"/>
        <w:rPr>
          <w:color w:val="000000"/>
          <w:lang w:eastAsia="de-DE"/>
        </w:rPr>
      </w:pPr>
      <w:r>
        <w:rPr>
          <w:color w:val="000000"/>
          <w:lang w:eastAsia="de-DE"/>
        </w:rPr>
        <w:t xml:space="preserve">Účinnost antimikrobiální léčby nekrobacilózy prstů může být snížena různými faktory, jako je vlhké prostředí nebo také nesprávná zoohygiena chovu. Léčba nekrobacilózy by měla proto být spojena s dalšími opatřeními, např. zajištěním suchého prostředí.  </w:t>
      </w:r>
    </w:p>
    <w:p w:rsidR="00DE2DDE" w:rsidRDefault="00DE2DDE" w:rsidP="00DE2DDE">
      <w:pPr>
        <w:spacing w:line="254" w:lineRule="auto"/>
        <w:ind w:left="1"/>
        <w:jc w:val="both"/>
        <w:rPr>
          <w:color w:val="000000"/>
          <w:lang w:eastAsia="de-DE"/>
        </w:rPr>
      </w:pPr>
      <w:r>
        <w:rPr>
          <w:color w:val="000000"/>
          <w:lang w:eastAsia="de-DE"/>
        </w:rPr>
        <w:t xml:space="preserve"> </w:t>
      </w:r>
    </w:p>
    <w:p w:rsidR="00DE2DDE" w:rsidRDefault="00DE2DDE" w:rsidP="00DE2DDE">
      <w:pPr>
        <w:spacing w:after="5" w:line="276" w:lineRule="auto"/>
        <w:ind w:left="-4" w:hanging="10"/>
        <w:jc w:val="both"/>
        <w:rPr>
          <w:color w:val="000000"/>
          <w:lang w:eastAsia="de-DE"/>
        </w:rPr>
      </w:pPr>
      <w:r>
        <w:rPr>
          <w:color w:val="000000"/>
          <w:lang w:eastAsia="de-DE"/>
        </w:rPr>
        <w:t xml:space="preserve">Antibiotická léčba benigní nekrobacilózy prstů se nepovažuje za vhodnou. </w:t>
      </w:r>
    </w:p>
    <w:p w:rsidR="00DE2DDE" w:rsidRDefault="00DE2DDE" w:rsidP="00DE2DDE">
      <w:pPr>
        <w:spacing w:after="5" w:line="276" w:lineRule="auto"/>
        <w:ind w:left="-4" w:hanging="10"/>
        <w:jc w:val="both"/>
        <w:rPr>
          <w:color w:val="000000"/>
          <w:lang w:eastAsia="de-DE"/>
        </w:rPr>
      </w:pPr>
      <w:r>
        <w:rPr>
          <w:color w:val="000000"/>
          <w:lang w:eastAsia="de-DE"/>
        </w:rPr>
        <w:t xml:space="preserve">Tulathromycin vykazoval omezenou účinnost u ovcí s vážnými klinickými příznaky nebo chronickou nekrobacilózou, proto by měl být podáván pouze v počáteční fázi nekrobacilózy. </w:t>
      </w:r>
    </w:p>
    <w:p w:rsidR="00DE2DDE" w:rsidRDefault="00DE2DDE" w:rsidP="00DE2DDE">
      <w:pPr>
        <w:spacing w:after="54" w:line="254" w:lineRule="auto"/>
        <w:ind w:left="1"/>
        <w:rPr>
          <w:color w:val="000000"/>
          <w:lang w:eastAsia="de-DE"/>
        </w:rPr>
      </w:pPr>
      <w:r>
        <w:rPr>
          <w:color w:val="000000"/>
          <w:lang w:eastAsia="de-DE"/>
        </w:rPr>
        <w:t xml:space="preserve"> </w:t>
      </w:r>
    </w:p>
    <w:p w:rsidR="00DE2DDE" w:rsidRDefault="00DE2DDE" w:rsidP="00DE2DDE">
      <w:pPr>
        <w:keepNext/>
        <w:keepLines/>
        <w:tabs>
          <w:tab w:val="center" w:pos="1921"/>
        </w:tabs>
        <w:spacing w:after="3" w:line="264" w:lineRule="auto"/>
        <w:ind w:left="-14" w:firstLine="14"/>
        <w:outlineLvl w:val="2"/>
        <w:rPr>
          <w:b/>
          <w:color w:val="000000"/>
          <w:lang w:eastAsia="de-DE"/>
        </w:rPr>
      </w:pPr>
      <w:r>
        <w:rPr>
          <w:b/>
          <w:color w:val="000000"/>
          <w:lang w:eastAsia="de-DE"/>
        </w:rPr>
        <w:t>4.5</w:t>
      </w:r>
      <w:r>
        <w:rPr>
          <w:b/>
          <w:color w:val="000000"/>
          <w:lang w:eastAsia="de-DE"/>
        </w:rPr>
        <w:tab/>
        <w:t>Zvláštní opatření pro použití</w:t>
      </w:r>
      <w:r>
        <w:rPr>
          <w:color w:val="000000"/>
          <w:lang w:eastAsia="de-DE"/>
        </w:rPr>
        <w:t xml:space="preserve"> </w:t>
      </w:r>
    </w:p>
    <w:p w:rsidR="00DE2DDE" w:rsidRDefault="00DE2DDE" w:rsidP="00DE2DDE">
      <w:pPr>
        <w:spacing w:after="54" w:line="254" w:lineRule="auto"/>
        <w:ind w:left="1"/>
        <w:rPr>
          <w:color w:val="000000"/>
          <w:lang w:eastAsia="de-DE"/>
        </w:rPr>
      </w:pPr>
      <w:r>
        <w:rPr>
          <w:color w:val="000000"/>
          <w:lang w:eastAsia="de-DE"/>
        </w:rPr>
        <w:t xml:space="preserve"> </w:t>
      </w:r>
    </w:p>
    <w:p w:rsidR="00DE2DDE" w:rsidRDefault="00DE2DDE" w:rsidP="00DE2DDE">
      <w:pPr>
        <w:spacing w:line="254" w:lineRule="auto"/>
        <w:ind w:left="-4" w:hanging="10"/>
        <w:rPr>
          <w:color w:val="000000"/>
          <w:lang w:eastAsia="de-DE"/>
        </w:rPr>
      </w:pPr>
      <w:r>
        <w:rPr>
          <w:color w:val="000000"/>
          <w:u w:val="single" w:color="000000"/>
          <w:lang w:eastAsia="de-DE"/>
        </w:rPr>
        <w:t>Zvláštní opatření pro použití u zvířat</w:t>
      </w:r>
      <w:r>
        <w:rPr>
          <w:color w:val="000000"/>
          <w:lang w:eastAsia="de-DE"/>
        </w:rPr>
        <w:t xml:space="preserve"> </w:t>
      </w:r>
    </w:p>
    <w:p w:rsidR="00DE2DDE" w:rsidRDefault="00DE2DDE" w:rsidP="00DE2DDE">
      <w:pPr>
        <w:spacing w:line="254" w:lineRule="auto"/>
        <w:ind w:left="-4" w:hanging="10"/>
        <w:rPr>
          <w:color w:val="000000"/>
          <w:lang w:eastAsia="de-DE"/>
        </w:rPr>
      </w:pPr>
    </w:p>
    <w:p w:rsidR="00DE2DDE" w:rsidRDefault="00DE2DDE" w:rsidP="00DE2DDE">
      <w:pPr>
        <w:spacing w:after="60" w:line="264" w:lineRule="auto"/>
        <w:ind w:left="-4" w:hanging="10"/>
        <w:jc w:val="both"/>
        <w:rPr>
          <w:color w:val="000000"/>
          <w:lang w:eastAsia="de-DE"/>
        </w:rPr>
      </w:pPr>
      <w:r>
        <w:rPr>
          <w:color w:val="000000"/>
          <w:lang w:eastAsia="de-DE"/>
        </w:rPr>
        <w:t>Použití přípravku by mělo být založeno na kultivaci a stanovení citlivosti mikroorganizmů pocházejících z výskytů případů onemocnění na farmě. Pokud to není možné, je nutné založit terapii na místních (regionální, na úrovni farmy) epizootologických informacích o citlivosti cílové bakterie.</w:t>
      </w:r>
      <w:r>
        <w:t xml:space="preserve"> </w:t>
      </w:r>
      <w:r>
        <w:rPr>
          <w:color w:val="000000"/>
          <w:lang w:eastAsia="de-DE"/>
        </w:rPr>
        <w:t xml:space="preserve">Při použití přípravku je nutno vzít v úvahu oficiální a místní pravidla antibiotické politiky. Použití přípravku, které je odlišné od pokynů uvedených v tomto souhrnu údajů o přípravku (SPC), může zvýšit prevalenci bakterií rezistentních k tulathromycinu a snížit účinnost léčby ostatními makrolidy, linkosamidy a streptograminy skupiny B, z důvodu možné zkřížené rezistence. </w:t>
      </w:r>
    </w:p>
    <w:p w:rsidR="00DE2DDE" w:rsidRDefault="00DE2DDE" w:rsidP="00DE2DDE">
      <w:pPr>
        <w:spacing w:after="5" w:line="264" w:lineRule="auto"/>
        <w:ind w:left="-4" w:hanging="10"/>
        <w:jc w:val="both"/>
        <w:rPr>
          <w:color w:val="000000"/>
          <w:lang w:eastAsia="de-DE"/>
        </w:rPr>
      </w:pPr>
      <w:r>
        <w:rPr>
          <w:color w:val="000000"/>
          <w:lang w:eastAsia="de-DE"/>
        </w:rPr>
        <w:t xml:space="preserve">Pokud dojde k reakci přecitlivělosti, měla by být zahájena odpovídající léčba bez prodlení. </w:t>
      </w:r>
    </w:p>
    <w:p w:rsidR="00DE2DDE" w:rsidRDefault="00DE2DDE" w:rsidP="00DE2DDE">
      <w:pPr>
        <w:spacing w:after="52" w:line="254" w:lineRule="auto"/>
        <w:ind w:left="1"/>
        <w:rPr>
          <w:color w:val="000000"/>
          <w:lang w:eastAsia="de-DE"/>
        </w:rPr>
      </w:pPr>
      <w:r>
        <w:rPr>
          <w:color w:val="000000"/>
          <w:lang w:eastAsia="de-DE"/>
        </w:rPr>
        <w:t xml:space="preserve"> </w:t>
      </w:r>
    </w:p>
    <w:p w:rsidR="00DE2DDE" w:rsidRDefault="00DE2DDE" w:rsidP="00DE2DDE">
      <w:pPr>
        <w:keepNext/>
        <w:spacing w:line="254" w:lineRule="auto"/>
        <w:ind w:left="0" w:firstLine="0"/>
        <w:rPr>
          <w:color w:val="000000"/>
          <w:lang w:eastAsia="de-DE"/>
        </w:rPr>
      </w:pPr>
      <w:r>
        <w:rPr>
          <w:color w:val="000000"/>
          <w:u w:val="single" w:color="000000"/>
          <w:lang w:eastAsia="de-DE"/>
        </w:rPr>
        <w:t>Zvláštní opatření určené osobám, které podávají veterinární léčivý přípravek zvířatům</w:t>
      </w:r>
      <w:r>
        <w:rPr>
          <w:color w:val="000000"/>
          <w:lang w:eastAsia="de-DE"/>
        </w:rPr>
        <w:t xml:space="preserve">  </w:t>
      </w:r>
    </w:p>
    <w:p w:rsidR="00DE2DDE" w:rsidRDefault="00DE2DDE" w:rsidP="00DE2DDE">
      <w:pPr>
        <w:spacing w:after="51" w:line="254" w:lineRule="auto"/>
        <w:ind w:left="1"/>
        <w:rPr>
          <w:color w:val="000000"/>
          <w:lang w:eastAsia="de-DE"/>
        </w:rPr>
      </w:pPr>
      <w:r>
        <w:rPr>
          <w:color w:val="000000"/>
          <w:lang w:eastAsia="de-DE"/>
        </w:rPr>
        <w:t xml:space="preserve"> </w:t>
      </w:r>
    </w:p>
    <w:p w:rsidR="00DE2DDE" w:rsidRDefault="00DE2DDE" w:rsidP="00DE2DDE">
      <w:pPr>
        <w:spacing w:after="25" w:line="264" w:lineRule="auto"/>
        <w:ind w:left="-4" w:right="165" w:hanging="10"/>
        <w:rPr>
          <w:color w:val="000000"/>
          <w:lang w:eastAsia="de-DE"/>
        </w:rPr>
      </w:pPr>
      <w:r>
        <w:rPr>
          <w:color w:val="000000"/>
          <w:lang w:eastAsia="de-DE"/>
        </w:rPr>
        <w:t>Tulathromycin dráždí oči. V případě náhodného kontaktu s očima je ihned vypláchněte čistou vodou.  Tulathromycin může způsobit senzibilizaci při kontaktu s pokožkou. V případě náhodného kontaktu s pokožkou je třeba okamžitě umýt pokožku mýdlem a vodou.</w:t>
      </w:r>
    </w:p>
    <w:p w:rsidR="00DE2DDE" w:rsidRDefault="00DE2DDE" w:rsidP="00DE2DDE">
      <w:pPr>
        <w:spacing w:after="25" w:line="264" w:lineRule="auto"/>
        <w:ind w:left="-4" w:right="165" w:hanging="10"/>
        <w:rPr>
          <w:color w:val="000000"/>
          <w:lang w:eastAsia="de-DE"/>
        </w:rPr>
      </w:pPr>
      <w:r>
        <w:rPr>
          <w:color w:val="000000"/>
          <w:lang w:eastAsia="de-DE"/>
        </w:rPr>
        <w:t xml:space="preserve">Po použití si umyjte ruce.  </w:t>
      </w:r>
    </w:p>
    <w:p w:rsidR="00DE2DDE" w:rsidRDefault="00DE2DDE" w:rsidP="00DE2DDE">
      <w:pPr>
        <w:spacing w:after="40" w:line="264" w:lineRule="auto"/>
        <w:ind w:left="-4" w:hanging="10"/>
        <w:rPr>
          <w:color w:val="000000"/>
          <w:lang w:eastAsia="de-DE"/>
        </w:rPr>
      </w:pPr>
      <w:r>
        <w:rPr>
          <w:color w:val="000000"/>
          <w:lang w:eastAsia="de-DE"/>
        </w:rPr>
        <w:t xml:space="preserve">V případě náhodného sebepoškození injekčně aplikovaným přípravkem vyhledejte ihned lékařskou pomoc a ukažte příbalovou informaci nebo etiketu praktickému lékaři. </w:t>
      </w:r>
    </w:p>
    <w:p w:rsidR="00DE2DDE" w:rsidRDefault="00DE2DDE" w:rsidP="00DE2DDE">
      <w:pPr>
        <w:spacing w:after="57" w:line="254" w:lineRule="auto"/>
        <w:ind w:left="1"/>
        <w:rPr>
          <w:color w:val="000000"/>
          <w:lang w:eastAsia="de-DE"/>
        </w:rPr>
      </w:pPr>
      <w:r>
        <w:rPr>
          <w:color w:val="000000"/>
          <w:lang w:eastAsia="de-DE"/>
        </w:rPr>
        <w:t xml:space="preserve"> </w:t>
      </w:r>
    </w:p>
    <w:p w:rsidR="00DE2DDE" w:rsidRDefault="00DE2DDE" w:rsidP="00DE2DDE">
      <w:pPr>
        <w:keepNext/>
        <w:keepLines/>
        <w:tabs>
          <w:tab w:val="center" w:pos="2529"/>
        </w:tabs>
        <w:spacing w:after="3" w:line="264" w:lineRule="auto"/>
        <w:ind w:left="-14" w:firstLine="14"/>
        <w:outlineLvl w:val="2"/>
        <w:rPr>
          <w:b/>
          <w:color w:val="000000"/>
          <w:lang w:eastAsia="de-DE"/>
        </w:rPr>
      </w:pPr>
      <w:r>
        <w:rPr>
          <w:b/>
          <w:color w:val="000000"/>
          <w:lang w:eastAsia="de-DE"/>
        </w:rPr>
        <w:t>4.6</w:t>
      </w:r>
      <w:r>
        <w:rPr>
          <w:b/>
          <w:color w:val="000000"/>
          <w:lang w:eastAsia="de-DE"/>
        </w:rPr>
        <w:tab/>
        <w:t>Nežádoucí účinky (frekvence a závažnost)</w:t>
      </w:r>
      <w:r>
        <w:rPr>
          <w:color w:val="000000"/>
          <w:lang w:eastAsia="de-DE"/>
        </w:rPr>
        <w:t xml:space="preserve"> </w:t>
      </w:r>
    </w:p>
    <w:p w:rsidR="00DE2DDE" w:rsidRDefault="00DE2DDE" w:rsidP="00DE2DDE">
      <w:pPr>
        <w:spacing w:after="22" w:line="254" w:lineRule="auto"/>
        <w:ind w:left="1"/>
        <w:rPr>
          <w:color w:val="000000"/>
          <w:lang w:eastAsia="de-DE"/>
        </w:rPr>
      </w:pPr>
      <w:r>
        <w:rPr>
          <w:b/>
          <w:color w:val="000000"/>
          <w:lang w:eastAsia="de-DE"/>
        </w:rPr>
        <w:t xml:space="preserve"> </w:t>
      </w:r>
    </w:p>
    <w:p w:rsidR="00DE2DDE" w:rsidRDefault="00DE2DDE" w:rsidP="00DE2DDE">
      <w:pPr>
        <w:spacing w:after="5" w:line="264" w:lineRule="auto"/>
        <w:ind w:left="-4" w:hanging="10"/>
        <w:rPr>
          <w:color w:val="000000"/>
          <w:lang w:eastAsia="de-DE"/>
        </w:rPr>
      </w:pPr>
      <w:r>
        <w:rPr>
          <w:color w:val="000000"/>
          <w:lang w:eastAsia="de-DE"/>
        </w:rPr>
        <w:t>Subkutánní podání veterinárního léčivého přípravku u skotu způsobuje velmi často přechodné bolestivé reakce a lokální otok v místě injekčního podání, které mohou přetrvávat až 30 dní</w:t>
      </w:r>
      <w:r>
        <w:rPr>
          <w:color w:val="0000FF"/>
          <w:lang w:eastAsia="de-DE"/>
        </w:rPr>
        <w:t xml:space="preserve">. </w:t>
      </w:r>
      <w:r>
        <w:rPr>
          <w:color w:val="000000"/>
          <w:lang w:eastAsia="de-DE"/>
        </w:rPr>
        <w:t xml:space="preserve">Tyto reakce nebyly pozorovány u prasat a ovcí po intramuskulárním podání.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spacing w:after="42" w:line="264" w:lineRule="auto"/>
        <w:ind w:left="-4" w:hanging="10"/>
        <w:rPr>
          <w:color w:val="000000"/>
          <w:lang w:eastAsia="de-DE"/>
        </w:rPr>
      </w:pPr>
      <w:r>
        <w:rPr>
          <w:color w:val="000000"/>
          <w:lang w:eastAsia="de-DE"/>
        </w:rPr>
        <w:t xml:space="preserve">Patomorfologické reakce v místě injekčního podání (včetně vratných změn jako je překrvení, otok, fibróza a krváceniny) jsou velmi časté přibližně 30 dní po aplikaci u skotu a prasat.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spacing w:after="40" w:line="264" w:lineRule="auto"/>
        <w:ind w:left="-4" w:hanging="10"/>
        <w:rPr>
          <w:color w:val="000000"/>
          <w:lang w:eastAsia="de-DE"/>
        </w:rPr>
      </w:pPr>
      <w:r>
        <w:rPr>
          <w:color w:val="000000"/>
          <w:lang w:eastAsia="de-DE"/>
        </w:rPr>
        <w:t xml:space="preserve">U ovcí jsou po intramuskulárním podání velmi časté přechodné projevy neklidu (třesení hlavou, drbání místa podání, ustupování vzad). Tyto příznaky odezní během několika minut.  </w:t>
      </w:r>
    </w:p>
    <w:p w:rsidR="00DE2DDE" w:rsidRDefault="00DE2DDE" w:rsidP="00DE2DDE">
      <w:pPr>
        <w:spacing w:after="54" w:line="254" w:lineRule="auto"/>
        <w:ind w:left="1"/>
        <w:rPr>
          <w:color w:val="000000"/>
          <w:lang w:eastAsia="de-DE"/>
        </w:rPr>
      </w:pPr>
      <w:r>
        <w:rPr>
          <w:color w:val="000000"/>
          <w:lang w:eastAsia="de-DE"/>
        </w:rPr>
        <w:lastRenderedPageBreak/>
        <w:t xml:space="preserve"> </w:t>
      </w:r>
    </w:p>
    <w:p w:rsidR="00DE2DDE" w:rsidRDefault="00DE2DDE" w:rsidP="00DE2DDE">
      <w:pPr>
        <w:spacing w:after="66" w:line="264" w:lineRule="auto"/>
        <w:ind w:left="-4" w:hanging="10"/>
        <w:rPr>
          <w:color w:val="000000"/>
          <w:lang w:eastAsia="de-DE"/>
        </w:rPr>
      </w:pPr>
      <w:r>
        <w:rPr>
          <w:color w:val="000000"/>
          <w:lang w:eastAsia="de-DE"/>
        </w:rPr>
        <w:t xml:space="preserve">Četnost nežádoucích účinků je charakterizována podle následujících pravidel: </w:t>
      </w:r>
    </w:p>
    <w:p w:rsidR="00DE2DDE" w:rsidRDefault="00DE2DDE" w:rsidP="00DE2DDE">
      <w:pPr>
        <w:numPr>
          <w:ilvl w:val="0"/>
          <w:numId w:val="41"/>
        </w:numPr>
        <w:spacing w:after="67" w:line="264" w:lineRule="auto"/>
        <w:ind w:hanging="127"/>
        <w:rPr>
          <w:color w:val="000000"/>
          <w:lang w:eastAsia="de-DE"/>
        </w:rPr>
      </w:pPr>
      <w:r>
        <w:rPr>
          <w:color w:val="000000"/>
          <w:lang w:eastAsia="de-DE"/>
        </w:rPr>
        <w:t xml:space="preserve">velmi časté (nežádoucí účinek (nky) se projevil(y)u více než 1 z 10 ošetřených zvířat) </w:t>
      </w:r>
    </w:p>
    <w:p w:rsidR="00DE2DDE" w:rsidRDefault="00DE2DDE" w:rsidP="00DE2DDE">
      <w:pPr>
        <w:numPr>
          <w:ilvl w:val="0"/>
          <w:numId w:val="41"/>
        </w:numPr>
        <w:spacing w:after="64" w:line="264" w:lineRule="auto"/>
        <w:ind w:hanging="127"/>
        <w:rPr>
          <w:color w:val="000000"/>
          <w:lang w:eastAsia="de-DE"/>
        </w:rPr>
      </w:pPr>
      <w:r>
        <w:rPr>
          <w:color w:val="000000"/>
          <w:lang w:eastAsia="de-DE"/>
        </w:rPr>
        <w:t xml:space="preserve">časté (u více než 1, ale méně než 10 ze 100 ošetřených zvířat) </w:t>
      </w:r>
    </w:p>
    <w:p w:rsidR="00DE2DDE" w:rsidRDefault="00DE2DDE" w:rsidP="00DE2DDE">
      <w:pPr>
        <w:numPr>
          <w:ilvl w:val="0"/>
          <w:numId w:val="41"/>
        </w:numPr>
        <w:spacing w:after="63" w:line="264" w:lineRule="auto"/>
        <w:ind w:hanging="127"/>
        <w:rPr>
          <w:color w:val="000000"/>
          <w:lang w:eastAsia="de-DE"/>
        </w:rPr>
      </w:pPr>
      <w:r>
        <w:rPr>
          <w:color w:val="000000"/>
          <w:lang w:eastAsia="de-DE"/>
        </w:rPr>
        <w:t xml:space="preserve">neobvyklé (u více než 1, ale méně než 10 z 1000 ošetřených zvířat) </w:t>
      </w:r>
    </w:p>
    <w:p w:rsidR="00DE2DDE" w:rsidRDefault="00DE2DDE" w:rsidP="00DE2DDE">
      <w:pPr>
        <w:numPr>
          <w:ilvl w:val="0"/>
          <w:numId w:val="41"/>
        </w:numPr>
        <w:spacing w:after="58" w:line="264" w:lineRule="auto"/>
        <w:ind w:hanging="127"/>
        <w:rPr>
          <w:color w:val="000000"/>
          <w:lang w:eastAsia="de-DE"/>
        </w:rPr>
      </w:pPr>
      <w:r>
        <w:rPr>
          <w:color w:val="000000"/>
          <w:lang w:eastAsia="de-DE"/>
        </w:rPr>
        <w:t xml:space="preserve">vzácné (u více než 1, ale méně než 10 z 10000 ošetřených zvířat) </w:t>
      </w:r>
    </w:p>
    <w:p w:rsidR="00DE2DDE" w:rsidRDefault="00DE2DDE" w:rsidP="00DE2DDE">
      <w:pPr>
        <w:numPr>
          <w:ilvl w:val="0"/>
          <w:numId w:val="41"/>
        </w:numPr>
        <w:spacing w:after="5" w:line="264" w:lineRule="auto"/>
        <w:ind w:hanging="127"/>
        <w:rPr>
          <w:color w:val="000000"/>
          <w:lang w:eastAsia="de-DE"/>
        </w:rPr>
      </w:pPr>
      <w:r>
        <w:rPr>
          <w:color w:val="000000"/>
          <w:lang w:eastAsia="de-DE"/>
        </w:rPr>
        <w:t xml:space="preserve">velmi vzácné (u méně než 1 z 10000 ošetřených zvířat, včetně ojedinělých hlášení). </w:t>
      </w:r>
    </w:p>
    <w:p w:rsidR="00DE2DDE" w:rsidRDefault="00DE2DDE" w:rsidP="00DE2DDE">
      <w:pPr>
        <w:spacing w:after="55" w:line="254" w:lineRule="auto"/>
        <w:ind w:left="1"/>
        <w:rPr>
          <w:color w:val="000000"/>
          <w:lang w:eastAsia="de-DE"/>
        </w:rPr>
      </w:pPr>
      <w:r>
        <w:rPr>
          <w:b/>
          <w:color w:val="000000"/>
          <w:lang w:eastAsia="de-DE"/>
        </w:rPr>
        <w:t xml:space="preserve"> </w:t>
      </w:r>
    </w:p>
    <w:p w:rsidR="00DE2DDE" w:rsidRDefault="00DE2DDE" w:rsidP="00DE2DDE">
      <w:pPr>
        <w:keepNext/>
        <w:keepLines/>
        <w:tabs>
          <w:tab w:val="center" w:pos="2803"/>
        </w:tabs>
        <w:spacing w:after="3" w:line="264" w:lineRule="auto"/>
        <w:ind w:left="-14" w:firstLine="14"/>
        <w:outlineLvl w:val="2"/>
        <w:rPr>
          <w:b/>
          <w:color w:val="000000"/>
          <w:lang w:eastAsia="de-DE"/>
        </w:rPr>
      </w:pPr>
      <w:r>
        <w:rPr>
          <w:b/>
          <w:color w:val="000000"/>
          <w:lang w:eastAsia="de-DE"/>
        </w:rPr>
        <w:t>4.7</w:t>
      </w:r>
      <w:r>
        <w:rPr>
          <w:b/>
          <w:color w:val="000000"/>
          <w:lang w:eastAsia="de-DE"/>
        </w:rPr>
        <w:tab/>
        <w:t xml:space="preserve">Použití v průběhu březosti, laktace nebo snášky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spacing w:after="5" w:line="264" w:lineRule="auto"/>
        <w:ind w:left="-4" w:hanging="10"/>
        <w:rPr>
          <w:color w:val="000000"/>
          <w:lang w:eastAsia="de-DE"/>
        </w:rPr>
      </w:pPr>
      <w:r>
        <w:rPr>
          <w:color w:val="000000"/>
          <w:lang w:eastAsia="de-DE"/>
        </w:rPr>
        <w:t xml:space="preserve">Laboratorní studie na potkanech a králících nepodaly důkaz o teratogenním, fetotoxickém účinku nebo maternální toxicitě. Nebyla stanovena bezpečnost veterinárního léčivého přípravku během březosti a laktace. Použít pouze po zvážení terapeutického prospěchu a rizika příslušným veterinárním lékařem. </w:t>
      </w:r>
    </w:p>
    <w:p w:rsidR="00DE2DDE" w:rsidRDefault="00DE2DDE" w:rsidP="00DE2DDE">
      <w:pPr>
        <w:spacing w:after="61" w:line="254" w:lineRule="auto"/>
        <w:ind w:left="1"/>
        <w:rPr>
          <w:color w:val="000000"/>
          <w:lang w:eastAsia="de-DE"/>
        </w:rPr>
      </w:pPr>
      <w:r>
        <w:rPr>
          <w:color w:val="000000"/>
          <w:lang w:eastAsia="de-DE"/>
        </w:rPr>
        <w:t xml:space="preserve"> </w:t>
      </w:r>
    </w:p>
    <w:p w:rsidR="00DE2DDE" w:rsidRDefault="00DE2DDE" w:rsidP="00DE2DDE">
      <w:pPr>
        <w:keepNext/>
        <w:keepLines/>
        <w:tabs>
          <w:tab w:val="center" w:pos="3495"/>
        </w:tabs>
        <w:spacing w:after="3" w:line="264" w:lineRule="auto"/>
        <w:ind w:left="-14" w:firstLine="14"/>
        <w:outlineLvl w:val="2"/>
        <w:rPr>
          <w:b/>
          <w:color w:val="000000"/>
          <w:lang w:eastAsia="de-DE"/>
        </w:rPr>
      </w:pPr>
      <w:r>
        <w:rPr>
          <w:b/>
          <w:color w:val="000000"/>
          <w:lang w:eastAsia="de-DE"/>
        </w:rPr>
        <w:t>4.8</w:t>
      </w:r>
      <w:r>
        <w:rPr>
          <w:b/>
          <w:color w:val="000000"/>
          <w:lang w:eastAsia="de-DE"/>
        </w:rPr>
        <w:tab/>
        <w:t>Interakce s dalšími léčivými přípravky a další formy interakce</w:t>
      </w:r>
      <w:r>
        <w:rPr>
          <w:color w:val="000000"/>
          <w:lang w:eastAsia="de-DE"/>
        </w:rPr>
        <w:t xml:space="preserve">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spacing w:after="40" w:line="264" w:lineRule="auto"/>
        <w:ind w:left="-4" w:hanging="10"/>
        <w:rPr>
          <w:color w:val="000000"/>
          <w:lang w:eastAsia="de-DE"/>
        </w:rPr>
      </w:pPr>
      <w:r>
        <w:rPr>
          <w:color w:val="000000"/>
          <w:lang w:eastAsia="de-DE"/>
        </w:rPr>
        <w:t>Nejsou známy.</w:t>
      </w:r>
    </w:p>
    <w:p w:rsidR="00DE2DDE" w:rsidRDefault="00DE2DDE" w:rsidP="00DE2DDE">
      <w:pPr>
        <w:spacing w:after="56" w:line="254" w:lineRule="auto"/>
        <w:ind w:left="1"/>
        <w:rPr>
          <w:color w:val="000000"/>
          <w:lang w:eastAsia="de-DE"/>
        </w:rPr>
      </w:pPr>
      <w:r>
        <w:rPr>
          <w:color w:val="000000"/>
          <w:lang w:eastAsia="de-DE"/>
        </w:rPr>
        <w:t xml:space="preserve"> </w:t>
      </w:r>
    </w:p>
    <w:p w:rsidR="00DE2DDE" w:rsidRDefault="00DE2DDE" w:rsidP="00DE2DDE">
      <w:pPr>
        <w:tabs>
          <w:tab w:val="center" w:pos="2268"/>
        </w:tabs>
        <w:spacing w:after="3" w:line="264" w:lineRule="auto"/>
        <w:ind w:left="-14" w:firstLine="14"/>
        <w:rPr>
          <w:color w:val="000000"/>
          <w:lang w:eastAsia="de-DE"/>
        </w:rPr>
      </w:pPr>
      <w:r>
        <w:rPr>
          <w:b/>
          <w:color w:val="000000"/>
          <w:lang w:eastAsia="de-DE"/>
        </w:rPr>
        <w:t>4.9</w:t>
      </w:r>
      <w:r>
        <w:rPr>
          <w:b/>
          <w:color w:val="000000"/>
          <w:lang w:eastAsia="de-DE"/>
        </w:rPr>
        <w:tab/>
        <w:t xml:space="preserve">Podávané množství a způsob podání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keepNext/>
        <w:keepLines/>
        <w:spacing w:line="254" w:lineRule="auto"/>
        <w:ind w:left="-4" w:hanging="10"/>
        <w:outlineLvl w:val="1"/>
        <w:rPr>
          <w:color w:val="000000"/>
          <w:shd w:val="clear" w:color="auto" w:fill="C1C2C2"/>
          <w:lang w:eastAsia="de-DE"/>
        </w:rPr>
      </w:pPr>
      <w:r>
        <w:rPr>
          <w:color w:val="000000"/>
          <w:u w:val="single" w:color="000000"/>
          <w:lang w:eastAsia="de-DE"/>
        </w:rPr>
        <w:t>Skot</w:t>
      </w:r>
      <w:r>
        <w:rPr>
          <w:color w:val="000000"/>
          <w:lang w:eastAsia="de-DE"/>
        </w:rPr>
        <w:t xml:space="preserve"> </w:t>
      </w:r>
      <w:r>
        <w:rPr>
          <w:color w:val="000000"/>
          <w:sz w:val="24"/>
          <w:lang w:eastAsia="de-DE"/>
        </w:rPr>
        <w:t xml:space="preserve"> </w:t>
      </w:r>
    </w:p>
    <w:p w:rsidR="00DE2DDE" w:rsidRDefault="00DE2DDE" w:rsidP="00DE2DDE">
      <w:pPr>
        <w:spacing w:after="13" w:line="244" w:lineRule="auto"/>
        <w:ind w:left="-4" w:hanging="10"/>
        <w:rPr>
          <w:color w:val="000000"/>
          <w:lang w:eastAsia="de-DE"/>
        </w:rPr>
      </w:pPr>
      <w:r>
        <w:rPr>
          <w:color w:val="000000"/>
          <w:lang w:eastAsia="de-DE"/>
        </w:rPr>
        <w:t xml:space="preserve">Subkutánní podání.  </w:t>
      </w:r>
    </w:p>
    <w:p w:rsidR="00DE2DDE" w:rsidRDefault="00DE2DDE" w:rsidP="00DE2DDE">
      <w:pPr>
        <w:spacing w:after="13" w:line="244" w:lineRule="auto"/>
        <w:ind w:left="-4" w:hanging="10"/>
        <w:rPr>
          <w:color w:val="000000"/>
          <w:lang w:eastAsia="de-DE"/>
        </w:rPr>
      </w:pPr>
      <w:r>
        <w:rPr>
          <w:color w:val="000000"/>
          <w:lang w:eastAsia="de-DE"/>
        </w:rPr>
        <w:t xml:space="preserve">Jednorázové subkutánní podání 2,5 mg tulathromycinu/kg živé hmotnosti (což odpovídá 1 ml přípravku/40 kg živé hmotnosti). Při léčbě skotu nad 300 kg živé hmotnosti rozdělit dávku tak, aby na jedno místo nebylo aplikováno více jak 7,5 ml.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keepNext/>
        <w:keepLines/>
        <w:spacing w:line="254" w:lineRule="auto"/>
        <w:ind w:left="-4" w:hanging="10"/>
        <w:outlineLvl w:val="1"/>
        <w:rPr>
          <w:color w:val="000000"/>
          <w:shd w:val="clear" w:color="auto" w:fill="C1C2C2"/>
          <w:lang w:eastAsia="de-DE"/>
        </w:rPr>
      </w:pPr>
      <w:r>
        <w:rPr>
          <w:color w:val="000000"/>
          <w:u w:val="single" w:color="000000"/>
          <w:lang w:eastAsia="de-DE"/>
        </w:rPr>
        <w:t>Prasata</w:t>
      </w:r>
      <w:r>
        <w:rPr>
          <w:color w:val="000000"/>
          <w:lang w:eastAsia="de-DE"/>
        </w:rPr>
        <w:t xml:space="preserve">  </w:t>
      </w:r>
    </w:p>
    <w:p w:rsidR="00DE2DDE" w:rsidRDefault="00DE2DDE" w:rsidP="00DE2DDE">
      <w:pPr>
        <w:spacing w:after="13" w:line="244" w:lineRule="auto"/>
        <w:ind w:left="-4" w:hanging="10"/>
        <w:rPr>
          <w:color w:val="000000"/>
          <w:lang w:eastAsia="de-DE"/>
        </w:rPr>
      </w:pPr>
      <w:r>
        <w:rPr>
          <w:color w:val="000000"/>
          <w:lang w:eastAsia="de-DE"/>
        </w:rPr>
        <w:t xml:space="preserve">Intramuskulární podání.  </w:t>
      </w:r>
    </w:p>
    <w:p w:rsidR="00DE2DDE" w:rsidRDefault="00DE2DDE" w:rsidP="00DE2DDE">
      <w:pPr>
        <w:spacing w:after="13" w:line="302" w:lineRule="auto"/>
        <w:ind w:left="-4" w:hanging="10"/>
        <w:rPr>
          <w:color w:val="000000"/>
          <w:lang w:eastAsia="de-DE"/>
        </w:rPr>
      </w:pPr>
      <w:r>
        <w:rPr>
          <w:color w:val="000000"/>
          <w:lang w:eastAsia="de-DE"/>
        </w:rPr>
        <w:t xml:space="preserve">Jednorázové intramuskulární podání 2,5 mg tulathromycinu/kg živé hmotnosti (což odpovídá1 ml přípravku/40 kg živé hmotnosti) do oblasti krku.  </w:t>
      </w:r>
    </w:p>
    <w:p w:rsidR="00DE2DDE" w:rsidRDefault="00DE2DDE" w:rsidP="00DE2DDE">
      <w:pPr>
        <w:spacing w:after="5" w:line="264" w:lineRule="auto"/>
        <w:ind w:left="-4" w:hanging="10"/>
        <w:rPr>
          <w:color w:val="000000"/>
          <w:lang w:eastAsia="de-DE"/>
        </w:rPr>
      </w:pPr>
      <w:r>
        <w:rPr>
          <w:color w:val="000000"/>
          <w:lang w:eastAsia="de-DE"/>
        </w:rPr>
        <w:t xml:space="preserve">Při léčbě prasat nad 80 kg živé hmotnosti rozdělit dávku tak, aby na jedno místo nebylo aplikováno více jak 2 ml.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spacing w:after="5" w:line="264" w:lineRule="auto"/>
        <w:ind w:left="-4" w:hanging="10"/>
        <w:jc w:val="both"/>
        <w:rPr>
          <w:color w:val="000000"/>
          <w:lang w:eastAsia="de-DE"/>
        </w:rPr>
      </w:pPr>
      <w:r>
        <w:rPr>
          <w:color w:val="000000"/>
          <w:lang w:eastAsia="de-DE"/>
        </w:rPr>
        <w:t xml:space="preserve">Při jakémkoliv respiračním onemocnění se doporučuje léčit zvířata v počátečních stádiích onemocnění a zhodnotit odpověď na léčbu za 48 hodin po podání. Pokud klinické příznaky respiračního onemocnění přetrvávají nebo se zhoršují nebo pokud dojde k recidivě, má být léčba změněna s použitím jiného antibiotika a je třeba s léčbou pokračovat až do vymizení klinických příznaků.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keepNext/>
        <w:keepLines/>
        <w:spacing w:line="254" w:lineRule="auto"/>
        <w:ind w:left="-4" w:hanging="10"/>
        <w:outlineLvl w:val="1"/>
        <w:rPr>
          <w:color w:val="000000"/>
          <w:shd w:val="clear" w:color="auto" w:fill="C1C2C2"/>
          <w:lang w:eastAsia="de-DE"/>
        </w:rPr>
      </w:pPr>
      <w:r>
        <w:rPr>
          <w:color w:val="000000"/>
          <w:u w:val="single" w:color="000000"/>
          <w:lang w:eastAsia="de-DE"/>
        </w:rPr>
        <w:t>Ovce</w:t>
      </w:r>
      <w:r>
        <w:rPr>
          <w:color w:val="000000"/>
          <w:lang w:eastAsia="de-DE"/>
        </w:rPr>
        <w:t xml:space="preserve">  </w:t>
      </w:r>
    </w:p>
    <w:p w:rsidR="00DE2DDE" w:rsidRDefault="00DE2DDE" w:rsidP="00DE2DDE">
      <w:pPr>
        <w:spacing w:after="13" w:line="244" w:lineRule="auto"/>
        <w:ind w:left="-4" w:hanging="10"/>
        <w:rPr>
          <w:color w:val="000000"/>
          <w:lang w:eastAsia="de-DE"/>
        </w:rPr>
      </w:pPr>
      <w:r>
        <w:rPr>
          <w:color w:val="000000"/>
          <w:lang w:eastAsia="de-DE"/>
        </w:rPr>
        <w:t xml:space="preserve">Intramuskulární podání.  </w:t>
      </w:r>
    </w:p>
    <w:p w:rsidR="00DE2DDE" w:rsidRDefault="00DE2DDE" w:rsidP="00DE2DDE">
      <w:pPr>
        <w:spacing w:after="13" w:line="307" w:lineRule="auto"/>
        <w:ind w:left="-4" w:hanging="10"/>
        <w:rPr>
          <w:color w:val="000000"/>
          <w:lang w:eastAsia="de-DE"/>
        </w:rPr>
      </w:pPr>
      <w:r>
        <w:rPr>
          <w:color w:val="000000"/>
          <w:lang w:eastAsia="de-DE"/>
        </w:rPr>
        <w:t xml:space="preserve">Jednorázové intramuskulární podání 2,5 mg tulathromycinu/kg živé hmotnosti (což odpovídá 1 ml přípravku/40 kg živé hmotnosti) do oblasti krku.  </w:t>
      </w:r>
    </w:p>
    <w:p w:rsidR="00DE2DDE" w:rsidRDefault="00DE2DDE" w:rsidP="00DE2DDE">
      <w:pPr>
        <w:spacing w:after="48" w:line="254" w:lineRule="auto"/>
        <w:ind w:left="1"/>
        <w:rPr>
          <w:color w:val="000000"/>
          <w:lang w:eastAsia="de-DE"/>
        </w:rPr>
      </w:pPr>
      <w:r>
        <w:rPr>
          <w:color w:val="000000"/>
          <w:lang w:eastAsia="de-DE"/>
        </w:rPr>
        <w:t xml:space="preserve"> </w:t>
      </w:r>
    </w:p>
    <w:p w:rsidR="00DE2DDE" w:rsidRDefault="00DE2DDE" w:rsidP="00DE2DDE">
      <w:pPr>
        <w:spacing w:after="17" w:line="254" w:lineRule="auto"/>
        <w:ind w:left="1" w:hanging="1"/>
        <w:jc w:val="both"/>
        <w:rPr>
          <w:color w:val="000000"/>
          <w:lang w:eastAsia="de-DE"/>
        </w:rPr>
      </w:pPr>
      <w:r>
        <w:rPr>
          <w:color w:val="000000"/>
          <w:lang w:eastAsia="de-DE"/>
        </w:rPr>
        <w:t xml:space="preserve">K zajištění správného dávkování by měla být živá hmotnost stanovena co nejpřesněji, jak je to možné, aby se předešlo poddávkování.  Zátku lze bezpečně propíchnout max. 100krát. Pro vícenásobné použití injekční lahvičky se doporučuje použití aspirační jehly nebo injekčního automatu, aby se předešlo nadměrnému propichování zátky.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keepNext/>
        <w:keepLines/>
        <w:spacing w:after="10" w:line="244" w:lineRule="auto"/>
        <w:ind w:left="-4" w:hanging="10"/>
        <w:outlineLvl w:val="2"/>
        <w:rPr>
          <w:b/>
          <w:color w:val="000000"/>
          <w:lang w:eastAsia="de-DE"/>
        </w:rPr>
      </w:pPr>
      <w:r>
        <w:rPr>
          <w:b/>
          <w:color w:val="000000"/>
          <w:lang w:eastAsia="de-DE"/>
        </w:rPr>
        <w:t>4.10</w:t>
      </w:r>
      <w:r>
        <w:rPr>
          <w:b/>
          <w:color w:val="000000"/>
          <w:lang w:eastAsia="de-DE"/>
        </w:rPr>
        <w:tab/>
        <w:t xml:space="preserve">Předávkování (symptomy, první pomoc, antidota), pokud je to nutné </w:t>
      </w:r>
    </w:p>
    <w:p w:rsidR="00DE2DDE" w:rsidRDefault="00DE2DDE" w:rsidP="00DE2DDE">
      <w:pPr>
        <w:spacing w:after="46" w:line="254" w:lineRule="auto"/>
        <w:ind w:left="1"/>
        <w:rPr>
          <w:color w:val="000000"/>
          <w:lang w:eastAsia="de-DE"/>
        </w:rPr>
      </w:pPr>
      <w:r>
        <w:rPr>
          <w:b/>
          <w:color w:val="000000"/>
          <w:lang w:eastAsia="de-DE"/>
        </w:rPr>
        <w:t xml:space="preserve"> </w:t>
      </w:r>
    </w:p>
    <w:p w:rsidR="00DE2DDE" w:rsidRDefault="00DE2DDE" w:rsidP="00DE2DDE">
      <w:pPr>
        <w:spacing w:after="5" w:line="264" w:lineRule="auto"/>
        <w:ind w:left="-4" w:hanging="10"/>
        <w:jc w:val="both"/>
        <w:rPr>
          <w:color w:val="000000"/>
          <w:lang w:eastAsia="de-DE"/>
        </w:rPr>
      </w:pPr>
      <w:r>
        <w:rPr>
          <w:color w:val="000000"/>
          <w:lang w:eastAsia="de-DE"/>
        </w:rPr>
        <w:lastRenderedPageBreak/>
        <w:t xml:space="preserve">U skotu při podání troj-, pěti- nebo desetinásobku doporučené dávky byly pozorovány přechodné příznaky spojené s diskomfortem v místě podání, které následně vyvolaly neklid, třesení hlavou, hrabání nohou po zemi a krátkodobé snížení příjmu krmiva. Mírná degenerace myokardu byla pozorována u skotu, který dostal pětinásobek až šestinásobek doporučené dávky.  </w:t>
      </w:r>
    </w:p>
    <w:p w:rsidR="00DE2DDE" w:rsidRDefault="00DE2DDE" w:rsidP="00DE2DDE">
      <w:pPr>
        <w:spacing w:after="51" w:line="254" w:lineRule="auto"/>
        <w:ind w:left="1"/>
        <w:jc w:val="both"/>
        <w:rPr>
          <w:color w:val="000000"/>
          <w:lang w:eastAsia="de-DE"/>
        </w:rPr>
      </w:pPr>
      <w:r>
        <w:rPr>
          <w:color w:val="000000"/>
          <w:lang w:eastAsia="de-DE"/>
        </w:rPr>
        <w:t xml:space="preserve"> </w:t>
      </w:r>
    </w:p>
    <w:p w:rsidR="00DE2DDE" w:rsidRDefault="00DE2DDE" w:rsidP="00DE2DDE">
      <w:pPr>
        <w:spacing w:after="5" w:line="264" w:lineRule="auto"/>
        <w:ind w:left="-4" w:hanging="10"/>
        <w:jc w:val="both"/>
        <w:rPr>
          <w:color w:val="000000"/>
          <w:lang w:eastAsia="de-DE"/>
        </w:rPr>
      </w:pPr>
      <w:r>
        <w:rPr>
          <w:color w:val="000000"/>
          <w:lang w:eastAsia="de-DE"/>
        </w:rPr>
        <w:t xml:space="preserve">U mladých prasat vážících přibližně 10 kg po podání troj- nebo pětinásobku léčebné dávky byly pozorovány přechodné příznaky spojené s diskomfortemi v místě podání, nadměrná vokalizace a neklid. Taktéž bylo pozorováno kulhání, pokud byla místem aplikace pánevní končetina.  </w:t>
      </w:r>
    </w:p>
    <w:p w:rsidR="00DE2DDE" w:rsidRDefault="00DE2DDE" w:rsidP="00DE2DDE">
      <w:pPr>
        <w:spacing w:after="53" w:line="254" w:lineRule="auto"/>
        <w:ind w:left="1"/>
        <w:jc w:val="both"/>
        <w:rPr>
          <w:color w:val="000000"/>
          <w:lang w:eastAsia="de-DE"/>
        </w:rPr>
      </w:pPr>
      <w:r>
        <w:rPr>
          <w:color w:val="000000"/>
          <w:lang w:eastAsia="de-DE"/>
        </w:rPr>
        <w:t xml:space="preserve"> </w:t>
      </w:r>
    </w:p>
    <w:p w:rsidR="00DE2DDE" w:rsidRDefault="00DE2DDE" w:rsidP="00DE2DDE">
      <w:pPr>
        <w:spacing w:after="5"/>
        <w:ind w:left="-4" w:hanging="10"/>
        <w:jc w:val="both"/>
        <w:rPr>
          <w:color w:val="000000"/>
          <w:lang w:eastAsia="de-DE"/>
        </w:rPr>
      </w:pPr>
      <w:r>
        <w:rPr>
          <w:color w:val="000000"/>
          <w:lang w:eastAsia="de-DE"/>
        </w:rPr>
        <w:t>U jehňat (zhruba v 6 týdnech věku) po podání troj- nebo pětinásobku doporučené dávky</w:t>
      </w:r>
      <w:bookmarkStart w:id="0" w:name="_GoBack"/>
      <w:bookmarkEnd w:id="0"/>
      <w:r>
        <w:rPr>
          <w:color w:val="000000"/>
          <w:lang w:eastAsia="de-DE"/>
        </w:rPr>
        <w:t xml:space="preserve"> byly  pozorovány přechodné příznaky spojené s diskomfortem v místě podání, zahrnující ustupování vzad,  třesení hlavou, drbání v místě podání, polehávání a vstávání, bečení. </w:t>
      </w:r>
    </w:p>
    <w:p w:rsidR="00DE2DDE" w:rsidRDefault="00DE2DDE" w:rsidP="00DE2DDE">
      <w:pPr>
        <w:spacing w:after="50" w:line="254" w:lineRule="auto"/>
        <w:ind w:left="1"/>
        <w:rPr>
          <w:color w:val="000000"/>
          <w:lang w:eastAsia="de-DE"/>
        </w:rPr>
      </w:pPr>
      <w:r>
        <w:rPr>
          <w:color w:val="000000"/>
          <w:lang w:eastAsia="de-DE"/>
        </w:rPr>
        <w:t xml:space="preserve"> </w:t>
      </w:r>
    </w:p>
    <w:p w:rsidR="00DE2DDE" w:rsidRDefault="00DE2DDE" w:rsidP="00DE2DDE">
      <w:pPr>
        <w:keepNext/>
        <w:keepLines/>
        <w:spacing w:after="3" w:line="264" w:lineRule="auto"/>
        <w:ind w:left="-4" w:right="58" w:hanging="10"/>
        <w:outlineLvl w:val="2"/>
        <w:rPr>
          <w:b/>
          <w:color w:val="000000"/>
          <w:lang w:eastAsia="de-DE"/>
        </w:rPr>
      </w:pPr>
      <w:r>
        <w:rPr>
          <w:b/>
          <w:color w:val="000000"/>
          <w:lang w:eastAsia="de-DE"/>
        </w:rPr>
        <w:t>4.11</w:t>
      </w:r>
      <w:r>
        <w:rPr>
          <w:b/>
          <w:color w:val="000000"/>
          <w:lang w:eastAsia="de-DE"/>
        </w:rPr>
        <w:tab/>
        <w:t>Ochranná(é) lhůta(y)</w:t>
      </w:r>
      <w:r>
        <w:rPr>
          <w:color w:val="000000"/>
          <w:lang w:eastAsia="de-DE"/>
        </w:rPr>
        <w:t xml:space="preserve">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spacing w:after="13" w:line="244" w:lineRule="auto"/>
        <w:ind w:left="-4" w:hanging="10"/>
        <w:rPr>
          <w:color w:val="000000"/>
          <w:lang w:eastAsia="de-DE"/>
        </w:rPr>
      </w:pPr>
      <w:r>
        <w:rPr>
          <w:color w:val="000000"/>
          <w:lang w:eastAsia="de-DE"/>
        </w:rPr>
        <w:t xml:space="preserve">Skot (maso): 22 dní </w:t>
      </w:r>
    </w:p>
    <w:p w:rsidR="00DE2DDE" w:rsidRDefault="00DE2DDE" w:rsidP="00DE2DDE">
      <w:pPr>
        <w:spacing w:after="13" w:line="244" w:lineRule="auto"/>
        <w:ind w:left="-4" w:hanging="10"/>
        <w:rPr>
          <w:color w:val="000000"/>
          <w:lang w:eastAsia="de-DE"/>
        </w:rPr>
      </w:pPr>
      <w:r>
        <w:rPr>
          <w:color w:val="000000"/>
          <w:lang w:eastAsia="de-DE"/>
        </w:rPr>
        <w:t xml:space="preserve">Prasata (maso): 13 dní </w:t>
      </w:r>
    </w:p>
    <w:p w:rsidR="00DE2DDE" w:rsidRDefault="00DE2DDE" w:rsidP="00DE2DDE">
      <w:pPr>
        <w:spacing w:after="13" w:line="244" w:lineRule="auto"/>
        <w:ind w:left="-4" w:hanging="10"/>
        <w:rPr>
          <w:color w:val="000000"/>
          <w:lang w:eastAsia="de-DE"/>
        </w:rPr>
      </w:pPr>
      <w:r>
        <w:rPr>
          <w:color w:val="000000"/>
          <w:lang w:eastAsia="de-DE"/>
        </w:rPr>
        <w:t xml:space="preserve">Ovce (maso): 16 dní </w:t>
      </w:r>
    </w:p>
    <w:p w:rsidR="00DE2DDE" w:rsidRDefault="00DE2DDE" w:rsidP="00DE2DDE">
      <w:pPr>
        <w:spacing w:after="54" w:line="254" w:lineRule="auto"/>
        <w:ind w:left="1"/>
        <w:rPr>
          <w:color w:val="000000"/>
          <w:lang w:eastAsia="de-DE"/>
        </w:rPr>
      </w:pPr>
      <w:r>
        <w:rPr>
          <w:color w:val="000000"/>
          <w:lang w:eastAsia="de-DE"/>
        </w:rPr>
        <w:t xml:space="preserve"> </w:t>
      </w:r>
    </w:p>
    <w:p w:rsidR="00DE2DDE" w:rsidRDefault="00DE2DDE" w:rsidP="00DE2DDE">
      <w:pPr>
        <w:spacing w:after="5" w:line="264" w:lineRule="auto"/>
        <w:ind w:left="-4" w:hanging="10"/>
        <w:rPr>
          <w:color w:val="000000"/>
          <w:lang w:eastAsia="de-DE"/>
        </w:rPr>
      </w:pPr>
      <w:r>
        <w:rPr>
          <w:color w:val="000000"/>
          <w:lang w:eastAsia="de-DE"/>
        </w:rPr>
        <w:t xml:space="preserve">Nepoužívat u laktujících zvířat, jejichž mléko je určeno pro lidskou spotřebu.  </w:t>
      </w:r>
    </w:p>
    <w:p w:rsidR="00DE2DDE" w:rsidRDefault="00DE2DDE" w:rsidP="00DE2DDE">
      <w:pPr>
        <w:spacing w:after="41" w:line="264" w:lineRule="auto"/>
        <w:ind w:left="-4" w:hanging="10"/>
        <w:rPr>
          <w:color w:val="000000"/>
          <w:lang w:eastAsia="de-DE"/>
        </w:rPr>
      </w:pPr>
      <w:r>
        <w:rPr>
          <w:color w:val="000000"/>
          <w:lang w:eastAsia="de-DE"/>
        </w:rPr>
        <w:t xml:space="preserve">Nepoužívat během 2 měsíců před očekávaným porodem u březích zvířat určených pro produkci mléka pro lidskou spotřebu.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keepNext/>
        <w:keepLines/>
        <w:tabs>
          <w:tab w:val="center" w:pos="2410"/>
        </w:tabs>
        <w:spacing w:after="10" w:line="244" w:lineRule="auto"/>
        <w:ind w:left="-14" w:firstLine="14"/>
        <w:outlineLvl w:val="0"/>
        <w:rPr>
          <w:b/>
          <w:color w:val="000000"/>
          <w:lang w:eastAsia="de-DE"/>
        </w:rPr>
      </w:pPr>
      <w:r>
        <w:rPr>
          <w:b/>
          <w:color w:val="000000"/>
          <w:lang w:eastAsia="de-DE"/>
        </w:rPr>
        <w:t>5.</w:t>
      </w:r>
      <w:r>
        <w:rPr>
          <w:b/>
          <w:color w:val="000000"/>
          <w:lang w:eastAsia="de-DE"/>
        </w:rPr>
        <w:tab/>
        <w:t xml:space="preserve">FARMAKOLOGICKÉ VLASTNOSTI </w:t>
      </w:r>
    </w:p>
    <w:p w:rsidR="00DE2DDE" w:rsidRDefault="00DE2DDE" w:rsidP="00DE2DDE">
      <w:pPr>
        <w:keepNext/>
        <w:spacing w:after="5" w:line="264" w:lineRule="auto"/>
        <w:ind w:left="-4" w:right="427" w:hanging="10"/>
        <w:rPr>
          <w:color w:val="000000"/>
          <w:lang w:eastAsia="de-DE"/>
        </w:rPr>
      </w:pPr>
      <w:r>
        <w:rPr>
          <w:color w:val="000000"/>
          <w:lang w:eastAsia="de-DE"/>
        </w:rPr>
        <w:t xml:space="preserve">Farmakoterapeutická skupina: antibakteriální léčiva pro systémovou aplikaci, makrolidy.  </w:t>
      </w:r>
    </w:p>
    <w:p w:rsidR="00DE2DDE" w:rsidRDefault="00DE2DDE" w:rsidP="00DE2DDE">
      <w:pPr>
        <w:keepNext/>
        <w:spacing w:after="5" w:line="264" w:lineRule="auto"/>
        <w:ind w:left="-4" w:right="427" w:hanging="10"/>
        <w:rPr>
          <w:color w:val="000000"/>
          <w:lang w:eastAsia="de-DE"/>
        </w:rPr>
      </w:pPr>
      <w:r>
        <w:rPr>
          <w:color w:val="000000"/>
          <w:lang w:eastAsia="de-DE"/>
        </w:rPr>
        <w:t xml:space="preserve">ATCvet kód: QJ01FA94.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keepNext/>
        <w:keepLines/>
        <w:tabs>
          <w:tab w:val="center" w:pos="1988"/>
        </w:tabs>
        <w:spacing w:after="10" w:line="244" w:lineRule="auto"/>
        <w:ind w:left="-14" w:firstLine="14"/>
        <w:outlineLvl w:val="1"/>
        <w:rPr>
          <w:color w:val="000000"/>
          <w:shd w:val="clear" w:color="auto" w:fill="C1C2C2"/>
          <w:lang w:eastAsia="de-DE"/>
        </w:rPr>
      </w:pPr>
      <w:r>
        <w:rPr>
          <w:b/>
          <w:color w:val="000000"/>
          <w:lang w:eastAsia="de-DE"/>
        </w:rPr>
        <w:t>5.1</w:t>
      </w:r>
      <w:r>
        <w:rPr>
          <w:b/>
          <w:color w:val="000000"/>
          <w:lang w:eastAsia="de-DE"/>
        </w:rPr>
        <w:tab/>
        <w:t xml:space="preserve">Farmakodynamické vlastnosti </w:t>
      </w:r>
    </w:p>
    <w:p w:rsidR="00DE2DDE" w:rsidRDefault="00DE2DDE" w:rsidP="00DE2DDE">
      <w:pPr>
        <w:spacing w:line="254" w:lineRule="auto"/>
        <w:ind w:left="1"/>
        <w:rPr>
          <w:color w:val="000000"/>
          <w:lang w:eastAsia="de-DE"/>
        </w:rPr>
      </w:pPr>
      <w:r>
        <w:rPr>
          <w:b/>
          <w:color w:val="000000"/>
          <w:lang w:eastAsia="de-DE"/>
        </w:rPr>
        <w:t xml:space="preserve"> </w:t>
      </w:r>
    </w:p>
    <w:p w:rsidR="00DE2DDE" w:rsidRDefault="00DE2DDE" w:rsidP="00DE2DDE">
      <w:pPr>
        <w:spacing w:after="5" w:line="264" w:lineRule="auto"/>
        <w:ind w:left="-4" w:hanging="10"/>
        <w:jc w:val="both"/>
        <w:rPr>
          <w:color w:val="000000"/>
          <w:lang w:eastAsia="de-DE"/>
        </w:rPr>
      </w:pPr>
      <w:r>
        <w:rPr>
          <w:color w:val="000000"/>
          <w:lang w:eastAsia="de-DE"/>
        </w:rPr>
        <w:t xml:space="preserve">Tulathromycin je semisyntetická makrolidová antimikrobiální látka, která pochází z fermentačního produktu. Odlišuje se od mnohých jiných makrolidů v tom, že má dlouhotrvající účinek, který je částečně způsoben jeho třemi aminovými skupinami; proto dostal chemické podskupinové označení triamilid.  </w:t>
      </w:r>
    </w:p>
    <w:p w:rsidR="00DE2DDE" w:rsidRDefault="00DE2DDE" w:rsidP="00DE2DDE">
      <w:pPr>
        <w:spacing w:after="47" w:line="254" w:lineRule="auto"/>
        <w:ind w:left="1"/>
        <w:jc w:val="both"/>
        <w:rPr>
          <w:color w:val="000000"/>
          <w:lang w:eastAsia="de-DE"/>
        </w:rPr>
      </w:pPr>
      <w:r>
        <w:rPr>
          <w:color w:val="000000"/>
          <w:lang w:eastAsia="de-DE"/>
        </w:rPr>
        <w:t xml:space="preserve"> </w:t>
      </w:r>
    </w:p>
    <w:p w:rsidR="00DE2DDE" w:rsidRDefault="00DE2DDE" w:rsidP="00DE2DDE">
      <w:pPr>
        <w:spacing w:after="5" w:line="264" w:lineRule="auto"/>
        <w:ind w:left="-4" w:hanging="10"/>
        <w:jc w:val="both"/>
        <w:rPr>
          <w:color w:val="000000"/>
          <w:lang w:eastAsia="de-DE"/>
        </w:rPr>
      </w:pPr>
      <w:r>
        <w:rPr>
          <w:color w:val="000000"/>
          <w:lang w:eastAsia="de-DE"/>
        </w:rPr>
        <w:t xml:space="preserve">Makrolidy jsou bakteriostaticky působící antibiotika inhibující nepostradatelnou biosyntézu bílkovin díky jejich schopnosti selektivně se vázat na bakteriální ribozomální RNA. Působí prostřednictvím stimulace disociace peptidyl-tRNA od ribozomu během procesu translokace. </w:t>
      </w:r>
    </w:p>
    <w:p w:rsidR="00DE2DDE" w:rsidRDefault="00DE2DDE" w:rsidP="00DE2DDE">
      <w:pPr>
        <w:spacing w:line="254" w:lineRule="auto"/>
        <w:jc w:val="both"/>
        <w:rPr>
          <w:color w:val="000000"/>
          <w:lang w:eastAsia="de-DE"/>
        </w:rPr>
      </w:pPr>
      <w:r>
        <w:rPr>
          <w:color w:val="000000"/>
          <w:lang w:eastAsia="de-DE"/>
        </w:rPr>
        <w:t xml:space="preserve"> </w:t>
      </w:r>
    </w:p>
    <w:p w:rsidR="00DE2DDE" w:rsidRDefault="00DE2DDE" w:rsidP="00DE2DDE">
      <w:pPr>
        <w:spacing w:after="5" w:line="264" w:lineRule="auto"/>
        <w:ind w:left="-4" w:hanging="10"/>
        <w:jc w:val="both"/>
        <w:rPr>
          <w:color w:val="000000"/>
          <w:lang w:eastAsia="de-DE"/>
        </w:rPr>
      </w:pPr>
      <w:r>
        <w:rPr>
          <w:color w:val="000000"/>
          <w:lang w:eastAsia="de-DE"/>
        </w:rPr>
        <w:t xml:space="preserve">Tulathromycin má </w:t>
      </w:r>
      <w:r>
        <w:rPr>
          <w:i/>
          <w:color w:val="000000"/>
          <w:lang w:eastAsia="de-DE"/>
        </w:rPr>
        <w:t xml:space="preserve">in vitro </w:t>
      </w:r>
      <w:r>
        <w:rPr>
          <w:color w:val="000000"/>
          <w:lang w:eastAsia="de-DE"/>
        </w:rPr>
        <w:t xml:space="preserve">účinnost proti </w:t>
      </w:r>
      <w:r>
        <w:rPr>
          <w:i/>
          <w:color w:val="000000"/>
          <w:lang w:eastAsia="de-DE"/>
        </w:rPr>
        <w:t>Mannheimia haemolytica</w:t>
      </w:r>
      <w:r>
        <w:rPr>
          <w:color w:val="000000"/>
          <w:lang w:eastAsia="de-DE"/>
        </w:rPr>
        <w:t xml:space="preserve">, </w:t>
      </w:r>
      <w:r>
        <w:rPr>
          <w:i/>
          <w:color w:val="000000"/>
          <w:lang w:eastAsia="de-DE"/>
        </w:rPr>
        <w:t>Pasteurella multocida</w:t>
      </w:r>
      <w:r>
        <w:rPr>
          <w:color w:val="000000"/>
          <w:lang w:eastAsia="de-DE"/>
        </w:rPr>
        <w:t xml:space="preserve">, </w:t>
      </w:r>
      <w:r>
        <w:rPr>
          <w:i/>
          <w:color w:val="000000"/>
          <w:lang w:eastAsia="de-DE"/>
        </w:rPr>
        <w:t>Histophilus somni</w:t>
      </w:r>
      <w:r>
        <w:rPr>
          <w:color w:val="000000"/>
          <w:lang w:eastAsia="de-DE"/>
        </w:rPr>
        <w:t xml:space="preserve">, </w:t>
      </w:r>
      <w:r>
        <w:rPr>
          <w:i/>
          <w:color w:val="000000"/>
          <w:lang w:eastAsia="de-DE"/>
        </w:rPr>
        <w:t xml:space="preserve">Mycoplasma bovis </w:t>
      </w:r>
      <w:r>
        <w:rPr>
          <w:color w:val="000000"/>
          <w:lang w:eastAsia="de-DE"/>
        </w:rPr>
        <w:t xml:space="preserve">a </w:t>
      </w:r>
      <w:r>
        <w:rPr>
          <w:i/>
          <w:color w:val="000000"/>
          <w:lang w:eastAsia="de-DE"/>
        </w:rPr>
        <w:t>Actinobacillus pleuropneumoniae</w:t>
      </w:r>
      <w:r>
        <w:rPr>
          <w:color w:val="000000"/>
          <w:lang w:eastAsia="de-DE"/>
        </w:rPr>
        <w:t xml:space="preserve">, </w:t>
      </w:r>
      <w:r>
        <w:rPr>
          <w:i/>
          <w:color w:val="000000"/>
          <w:lang w:eastAsia="de-DE"/>
        </w:rPr>
        <w:t>Pasteurella multocida,</w:t>
      </w:r>
      <w:r w:rsidR="00D45102">
        <w:rPr>
          <w:i/>
          <w:color w:val="000000"/>
          <w:lang w:eastAsia="de-DE"/>
        </w:rPr>
        <w:br/>
      </w:r>
      <w:r>
        <w:rPr>
          <w:i/>
          <w:color w:val="000000"/>
          <w:lang w:eastAsia="de-DE"/>
        </w:rPr>
        <w:t>Mycoplasma hyopneumoniae</w:t>
      </w:r>
      <w:r>
        <w:rPr>
          <w:color w:val="000000"/>
          <w:lang w:eastAsia="de-DE"/>
        </w:rPr>
        <w:t xml:space="preserve">, </w:t>
      </w:r>
      <w:r>
        <w:rPr>
          <w:i/>
          <w:color w:val="000000"/>
          <w:lang w:eastAsia="de-DE"/>
        </w:rPr>
        <w:t xml:space="preserve">Haemophilus parasuis </w:t>
      </w:r>
      <w:r>
        <w:rPr>
          <w:color w:val="000000"/>
          <w:lang w:eastAsia="de-DE"/>
        </w:rPr>
        <w:t xml:space="preserve">a </w:t>
      </w:r>
      <w:r>
        <w:rPr>
          <w:i/>
          <w:color w:val="000000"/>
          <w:lang w:eastAsia="de-DE"/>
        </w:rPr>
        <w:t>Bordetella bronchiseptica</w:t>
      </w:r>
      <w:r>
        <w:rPr>
          <w:color w:val="000000"/>
          <w:lang w:eastAsia="de-DE"/>
        </w:rPr>
        <w:t xml:space="preserve">, bakteriálním patogenům nejčastěji spojovanými s respiračními onemocněními skotu a prasat. Zvýšené hodnoty minimální inhibiční koncentrace (MIC) byly zjištěny u některých izolátů </w:t>
      </w:r>
      <w:r>
        <w:rPr>
          <w:i/>
          <w:color w:val="000000"/>
          <w:lang w:eastAsia="de-DE"/>
        </w:rPr>
        <w:t xml:space="preserve">Histophilus somni </w:t>
      </w:r>
      <w:r>
        <w:rPr>
          <w:color w:val="000000"/>
          <w:lang w:eastAsia="de-DE"/>
        </w:rPr>
        <w:t xml:space="preserve">a </w:t>
      </w:r>
      <w:r>
        <w:rPr>
          <w:i/>
          <w:color w:val="000000"/>
          <w:lang w:eastAsia="de-DE"/>
        </w:rPr>
        <w:t>Actinobacillus pleuropneumoniae</w:t>
      </w:r>
      <w:r>
        <w:rPr>
          <w:color w:val="000000"/>
          <w:lang w:eastAsia="de-DE"/>
        </w:rPr>
        <w:t xml:space="preserve">. Byla stanovena </w:t>
      </w:r>
      <w:r>
        <w:rPr>
          <w:i/>
          <w:color w:val="000000"/>
          <w:lang w:eastAsia="de-DE"/>
        </w:rPr>
        <w:t xml:space="preserve">in vitro </w:t>
      </w:r>
      <w:r>
        <w:rPr>
          <w:color w:val="000000"/>
          <w:lang w:eastAsia="de-DE"/>
        </w:rPr>
        <w:t xml:space="preserve">účinnost proti </w:t>
      </w:r>
      <w:r>
        <w:rPr>
          <w:i/>
          <w:color w:val="000000"/>
          <w:lang w:eastAsia="de-DE"/>
        </w:rPr>
        <w:t xml:space="preserve">Dichelobacter nodosus </w:t>
      </w:r>
      <w:r>
        <w:rPr>
          <w:color w:val="000000"/>
          <w:lang w:eastAsia="de-DE"/>
        </w:rPr>
        <w:t xml:space="preserve">bakteriálnímu patogenu, který je nejčastěji spojen s infekční pododermatitidou (nekrobacilózou) u ovcí.  </w:t>
      </w:r>
    </w:p>
    <w:p w:rsidR="00DE2DDE" w:rsidRDefault="00DE2DDE" w:rsidP="00DE2DDE">
      <w:pPr>
        <w:spacing w:after="31" w:line="254" w:lineRule="auto"/>
        <w:jc w:val="both"/>
        <w:rPr>
          <w:color w:val="000000"/>
          <w:lang w:eastAsia="de-DE"/>
        </w:rPr>
      </w:pPr>
      <w:r>
        <w:rPr>
          <w:color w:val="000000"/>
          <w:lang w:eastAsia="de-DE"/>
        </w:rPr>
        <w:t xml:space="preserve"> </w:t>
      </w:r>
    </w:p>
    <w:p w:rsidR="00DE2DDE" w:rsidRDefault="00DE2DDE" w:rsidP="00DE2DDE">
      <w:pPr>
        <w:spacing w:after="5"/>
        <w:ind w:left="-4" w:hanging="10"/>
        <w:jc w:val="both"/>
        <w:rPr>
          <w:color w:val="000000"/>
          <w:lang w:eastAsia="de-DE"/>
        </w:rPr>
      </w:pPr>
      <w:r>
        <w:rPr>
          <w:color w:val="000000"/>
          <w:lang w:eastAsia="de-DE"/>
        </w:rPr>
        <w:t xml:space="preserve">Tulathromycin má rovněž </w:t>
      </w:r>
      <w:r>
        <w:rPr>
          <w:i/>
          <w:color w:val="000000"/>
          <w:lang w:eastAsia="de-DE"/>
        </w:rPr>
        <w:t xml:space="preserve">in vitro </w:t>
      </w:r>
      <w:r>
        <w:rPr>
          <w:color w:val="000000"/>
          <w:lang w:eastAsia="de-DE"/>
        </w:rPr>
        <w:t xml:space="preserve">účinnost proti </w:t>
      </w:r>
      <w:r>
        <w:rPr>
          <w:i/>
          <w:color w:val="000000"/>
          <w:lang w:eastAsia="de-DE"/>
        </w:rPr>
        <w:t>Moraxella bovis</w:t>
      </w:r>
      <w:r>
        <w:rPr>
          <w:color w:val="000000"/>
          <w:lang w:eastAsia="de-DE"/>
        </w:rPr>
        <w:t xml:space="preserve">, bakteriálnímu patogenu nejčastěji spojenému s infekční bovinní keratokonjunktivitidou (IBK). </w:t>
      </w:r>
    </w:p>
    <w:p w:rsidR="00DE2DDE" w:rsidRDefault="00DE2DDE" w:rsidP="00DE2DDE">
      <w:pPr>
        <w:spacing w:line="254" w:lineRule="auto"/>
        <w:jc w:val="both"/>
        <w:rPr>
          <w:color w:val="000000"/>
          <w:lang w:eastAsia="de-DE"/>
        </w:rPr>
      </w:pPr>
      <w:r>
        <w:rPr>
          <w:color w:val="000000"/>
          <w:lang w:eastAsia="de-DE"/>
        </w:rPr>
        <w:t xml:space="preserve"> </w:t>
      </w:r>
    </w:p>
    <w:p w:rsidR="00DE2DDE" w:rsidRDefault="00DE2DDE" w:rsidP="00DE2DDE">
      <w:pPr>
        <w:ind w:left="-4" w:hanging="10"/>
        <w:jc w:val="both"/>
        <w:rPr>
          <w:color w:val="000000"/>
          <w:lang w:eastAsia="de-DE"/>
        </w:rPr>
      </w:pPr>
      <w:r>
        <w:rPr>
          <w:color w:val="000000"/>
          <w:lang w:eastAsia="de-DE"/>
        </w:rPr>
        <w:t>Clinical and Laboratory Standards Institute (CLSI) stanovil klinické hraniční hodnoty tulathromycinu</w:t>
      </w:r>
    </w:p>
    <w:p w:rsidR="00DE2DDE" w:rsidRDefault="00DE2DDE" w:rsidP="00DE2DDE">
      <w:pPr>
        <w:ind w:left="-4" w:hanging="10"/>
        <w:jc w:val="both"/>
        <w:rPr>
          <w:i/>
          <w:color w:val="000000"/>
          <w:lang w:eastAsia="de-DE"/>
        </w:rPr>
      </w:pPr>
      <w:r>
        <w:rPr>
          <w:color w:val="000000"/>
          <w:lang w:eastAsia="de-DE"/>
        </w:rPr>
        <w:t xml:space="preserve">proti </w:t>
      </w:r>
      <w:r>
        <w:rPr>
          <w:i/>
          <w:color w:val="000000"/>
          <w:lang w:eastAsia="de-DE"/>
        </w:rPr>
        <w:t>M. haemolytica</w:t>
      </w:r>
      <w:r>
        <w:rPr>
          <w:color w:val="000000"/>
          <w:lang w:eastAsia="de-DE"/>
        </w:rPr>
        <w:t xml:space="preserve">, </w:t>
      </w:r>
      <w:r>
        <w:rPr>
          <w:i/>
          <w:color w:val="000000"/>
          <w:lang w:eastAsia="de-DE"/>
        </w:rPr>
        <w:t>P. multocida</w:t>
      </w:r>
      <w:r>
        <w:rPr>
          <w:color w:val="000000"/>
          <w:lang w:eastAsia="de-DE"/>
        </w:rPr>
        <w:t xml:space="preserve"> a </w:t>
      </w:r>
      <w:r>
        <w:rPr>
          <w:i/>
          <w:color w:val="000000"/>
          <w:lang w:eastAsia="de-DE"/>
        </w:rPr>
        <w:t>H. somni</w:t>
      </w:r>
      <w:r>
        <w:rPr>
          <w:color w:val="000000"/>
          <w:lang w:eastAsia="de-DE"/>
        </w:rPr>
        <w:t xml:space="preserve"> bovinního respiratorního původu a </w:t>
      </w:r>
      <w:r>
        <w:rPr>
          <w:i/>
          <w:color w:val="000000"/>
          <w:lang w:eastAsia="de-DE"/>
        </w:rPr>
        <w:t>P. multocida</w:t>
      </w:r>
      <w:r>
        <w:rPr>
          <w:color w:val="000000"/>
          <w:lang w:eastAsia="de-DE"/>
        </w:rPr>
        <w:t xml:space="preserve"> a </w:t>
      </w:r>
      <w:r>
        <w:rPr>
          <w:i/>
          <w:color w:val="000000"/>
          <w:lang w:eastAsia="de-DE"/>
        </w:rPr>
        <w:t>B.</w:t>
      </w:r>
    </w:p>
    <w:p w:rsidR="00DE2DDE" w:rsidRDefault="00DE2DDE" w:rsidP="00DE2DDE">
      <w:pPr>
        <w:ind w:left="-4" w:hanging="10"/>
        <w:jc w:val="both"/>
        <w:rPr>
          <w:color w:val="000000"/>
          <w:lang w:eastAsia="de-DE"/>
        </w:rPr>
      </w:pPr>
      <w:r>
        <w:rPr>
          <w:i/>
          <w:color w:val="000000"/>
          <w:lang w:eastAsia="de-DE"/>
        </w:rPr>
        <w:lastRenderedPageBreak/>
        <w:t xml:space="preserve">bronchiseptica </w:t>
      </w:r>
      <w:r>
        <w:rPr>
          <w:color w:val="000000"/>
          <w:lang w:eastAsia="de-DE"/>
        </w:rPr>
        <w:t>prasečího respiratorního původu takto: ≤ 16 μg/ml citlivé a ≥ 64 μg/ml rezistentní. Pro A. pleuropneumoniae prasečího respiratorního původu byla stanovena hraniční hodnota citlivosti ≤ 64</w:t>
      </w:r>
    </w:p>
    <w:p w:rsidR="00DE2DDE" w:rsidRDefault="00DE2DDE" w:rsidP="00DE2DDE">
      <w:pPr>
        <w:ind w:left="-4" w:hanging="10"/>
        <w:jc w:val="both"/>
        <w:rPr>
          <w:color w:val="000000"/>
          <w:lang w:eastAsia="de-DE"/>
        </w:rPr>
      </w:pPr>
      <w:r>
        <w:rPr>
          <w:color w:val="000000"/>
          <w:lang w:eastAsia="de-DE"/>
        </w:rPr>
        <w:t>μg/ml. CLSI také zveřejnil klinické hraniční hodnoty pro tulathromycin založené na diskové difúzní</w:t>
      </w:r>
    </w:p>
    <w:p w:rsidR="00DE2DDE" w:rsidRDefault="00DE2DDE" w:rsidP="00DE2DDE">
      <w:pPr>
        <w:ind w:left="-4" w:hanging="10"/>
        <w:jc w:val="both"/>
        <w:rPr>
          <w:color w:val="000000"/>
          <w:lang w:eastAsia="de-DE"/>
        </w:rPr>
      </w:pPr>
      <w:r>
        <w:rPr>
          <w:color w:val="000000"/>
          <w:lang w:eastAsia="de-DE"/>
        </w:rPr>
        <w:t xml:space="preserve">metodě (CLSI dokument VET08, 4. vyd., 2018). Pro </w:t>
      </w:r>
      <w:r>
        <w:rPr>
          <w:i/>
          <w:color w:val="000000"/>
          <w:lang w:eastAsia="de-DE"/>
        </w:rPr>
        <w:t>H. parasuis</w:t>
      </w:r>
      <w:r>
        <w:rPr>
          <w:color w:val="000000"/>
          <w:lang w:eastAsia="de-DE"/>
        </w:rPr>
        <w:t xml:space="preserve"> nejsou klinické hraniční hodnoty</w:t>
      </w:r>
    </w:p>
    <w:p w:rsidR="00DE2DDE" w:rsidRDefault="00DE2DDE" w:rsidP="00DE2DDE">
      <w:pPr>
        <w:ind w:left="-4" w:hanging="10"/>
        <w:jc w:val="both"/>
        <w:rPr>
          <w:color w:val="000000"/>
          <w:lang w:eastAsia="de-DE"/>
        </w:rPr>
      </w:pPr>
      <w:r>
        <w:rPr>
          <w:color w:val="000000"/>
          <w:lang w:eastAsia="de-DE"/>
        </w:rPr>
        <w:t xml:space="preserve">k dispozici. EUCAST ani CLSI nevytvořily standardní metody pro testování účinnosti antibakteriálních látek proti veterinárním druhům bakterií rodu </w:t>
      </w:r>
      <w:r>
        <w:rPr>
          <w:i/>
          <w:color w:val="000000"/>
          <w:lang w:eastAsia="de-DE"/>
        </w:rPr>
        <w:t>Mycoplasma</w:t>
      </w:r>
      <w:r>
        <w:rPr>
          <w:color w:val="000000"/>
          <w:lang w:eastAsia="de-DE"/>
        </w:rPr>
        <w:t>, a proto nebyla stanovena žádná interpretační kritéria.</w:t>
      </w:r>
    </w:p>
    <w:p w:rsidR="00DE2DDE" w:rsidRDefault="00DE2DDE" w:rsidP="00DE2DDE">
      <w:pPr>
        <w:ind w:left="-4" w:hanging="10"/>
        <w:jc w:val="both"/>
        <w:rPr>
          <w:color w:val="000000"/>
          <w:lang w:eastAsia="de-DE"/>
        </w:rPr>
      </w:pPr>
    </w:p>
    <w:p w:rsidR="00DE2DDE" w:rsidRDefault="00DE2DDE" w:rsidP="00DE2DDE">
      <w:pPr>
        <w:ind w:left="-4" w:hanging="10"/>
        <w:jc w:val="both"/>
        <w:rPr>
          <w:color w:val="000000"/>
          <w:lang w:eastAsia="de-DE"/>
        </w:rPr>
      </w:pPr>
      <w:r>
        <w:rPr>
          <w:color w:val="000000"/>
          <w:lang w:eastAsia="de-DE"/>
        </w:rPr>
        <w:t xml:space="preserve">Rezistence na makrolidy se může vyvinout mutacemi genů, které kódují ribozomální RNA (rRNA), nebo některých ribozomálních proteinů; enzymatickou modifikací (metylací) cílového místa 23S rRNA, obvykle se tím zvyšuje zkřížená rezistence s linkosamidy a streptograminy skupiny B </w:t>
      </w:r>
    </w:p>
    <w:p w:rsidR="00DE2DDE" w:rsidRDefault="00DE2DDE" w:rsidP="00DE2DDE">
      <w:pPr>
        <w:ind w:left="-4" w:hanging="10"/>
        <w:jc w:val="both"/>
        <w:rPr>
          <w:color w:val="000000"/>
          <w:lang w:eastAsia="de-DE"/>
        </w:rPr>
      </w:pPr>
      <w:r>
        <w:rPr>
          <w:color w:val="000000"/>
          <w:lang w:eastAsia="de-DE"/>
        </w:rPr>
        <w:t>(MLS</w:t>
      </w:r>
      <w:r>
        <w:rPr>
          <w:color w:val="000000"/>
          <w:vertAlign w:val="subscript"/>
          <w:lang w:eastAsia="de-DE"/>
        </w:rPr>
        <w:t xml:space="preserve">B </w:t>
      </w:r>
      <w:r>
        <w:rPr>
          <w:color w:val="000000"/>
          <w:lang w:eastAsia="de-DE"/>
        </w:rPr>
        <w:t>rezistence); nebo enzymatickou inaktivací, a nebo efluxem makrolidů. MLS</w:t>
      </w:r>
      <w:r>
        <w:rPr>
          <w:color w:val="000000"/>
          <w:vertAlign w:val="subscript"/>
          <w:lang w:eastAsia="de-DE"/>
        </w:rPr>
        <w:t xml:space="preserve">B </w:t>
      </w:r>
      <w:r>
        <w:rPr>
          <w:color w:val="000000"/>
          <w:lang w:eastAsia="de-DE"/>
        </w:rPr>
        <w:t xml:space="preserve">rezistence může být konstitutivní nebo inducibilní. Rezistence může být chromozomální nebo kódována plazmidem a může být přenosná, pokud je spojena s transpozony, plazmidy, integračními a konjugačními elementy. Navíc plasticitu genomu </w:t>
      </w:r>
      <w:r>
        <w:rPr>
          <w:i/>
          <w:color w:val="000000"/>
          <w:lang w:eastAsia="de-DE"/>
        </w:rPr>
        <w:t>Mycoplasma</w:t>
      </w:r>
      <w:r>
        <w:rPr>
          <w:color w:val="000000"/>
          <w:lang w:eastAsia="de-DE"/>
        </w:rPr>
        <w:t xml:space="preserve"> zvyšuje horizontální transfer velkých fragmentů chromozomů.</w:t>
      </w:r>
    </w:p>
    <w:p w:rsidR="00DE2DDE" w:rsidRDefault="00DE2DDE" w:rsidP="00DE2DDE">
      <w:pPr>
        <w:ind w:left="-4" w:hanging="10"/>
        <w:jc w:val="both"/>
        <w:rPr>
          <w:color w:val="000000"/>
          <w:lang w:eastAsia="de-DE"/>
        </w:rPr>
      </w:pPr>
      <w:r>
        <w:rPr>
          <w:color w:val="000000"/>
          <w:lang w:eastAsia="de-DE"/>
        </w:rPr>
        <w:t xml:space="preserve">  </w:t>
      </w:r>
    </w:p>
    <w:p w:rsidR="00DE2DDE" w:rsidRDefault="00DE2DDE" w:rsidP="00DE2DDE">
      <w:pPr>
        <w:spacing w:after="32" w:line="264" w:lineRule="auto"/>
        <w:ind w:left="-4" w:hanging="10"/>
        <w:jc w:val="both"/>
        <w:rPr>
          <w:color w:val="000000"/>
          <w:lang w:eastAsia="de-DE"/>
        </w:rPr>
      </w:pPr>
      <w:r>
        <w:rPr>
          <w:color w:val="000000"/>
          <w:lang w:eastAsia="de-DE"/>
        </w:rPr>
        <w:t>Tulathromycin kromě svých antimikrobiálních vlastností vykazuje v pokusných studiích imunomodulační a protizánětlivý účinek. Tulathromycin spouští apoptózu (programovanou buněčnou smrt) v polymorfonukleárních buňkách (PMN; neutrofily) skotu i prasat a odstranění apoptických buněk makrofágy. Snižuje tvorbu prozánětlivých mediátorů leukotrienu B4 a CXCL-8 a indukuje tvorbu protizánětlivého lipidu lipoxinu A4 podporujícího hojení zánětu.</w:t>
      </w:r>
      <w:r>
        <w:rPr>
          <w:b/>
          <w:color w:val="000000"/>
          <w:lang w:eastAsia="de-DE"/>
        </w:rPr>
        <w:t xml:space="preserve">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keepNext/>
        <w:keepLines/>
        <w:tabs>
          <w:tab w:val="center" w:pos="1720"/>
        </w:tabs>
        <w:spacing w:after="10" w:line="244" w:lineRule="auto"/>
        <w:ind w:left="-14" w:firstLine="14"/>
        <w:outlineLvl w:val="1"/>
        <w:rPr>
          <w:color w:val="000000"/>
          <w:shd w:val="clear" w:color="auto" w:fill="C1C2C2"/>
          <w:lang w:eastAsia="de-DE"/>
        </w:rPr>
      </w:pPr>
      <w:r>
        <w:rPr>
          <w:b/>
          <w:color w:val="000000"/>
          <w:lang w:eastAsia="de-DE"/>
        </w:rPr>
        <w:t>5.2</w:t>
      </w:r>
      <w:r>
        <w:rPr>
          <w:b/>
          <w:color w:val="000000"/>
          <w:lang w:eastAsia="de-DE"/>
        </w:rPr>
        <w:tab/>
        <w:t>Farmakokinetické údaje</w:t>
      </w:r>
      <w:r>
        <w:rPr>
          <w:color w:val="000000"/>
          <w:lang w:eastAsia="de-DE"/>
        </w:rPr>
        <w:t xml:space="preserve"> </w:t>
      </w:r>
    </w:p>
    <w:p w:rsidR="00DE2DDE" w:rsidRDefault="00DE2DDE" w:rsidP="00DE2DDE">
      <w:pPr>
        <w:spacing w:line="254" w:lineRule="auto"/>
        <w:rPr>
          <w:color w:val="000000"/>
          <w:lang w:eastAsia="de-DE"/>
        </w:rPr>
      </w:pPr>
      <w:r>
        <w:rPr>
          <w:color w:val="000000"/>
          <w:lang w:eastAsia="de-DE"/>
        </w:rPr>
        <w:t xml:space="preserve"> </w:t>
      </w:r>
    </w:p>
    <w:p w:rsidR="00DE2DDE" w:rsidRDefault="00DE2DDE" w:rsidP="00DE2DDE">
      <w:pPr>
        <w:spacing w:after="5" w:line="264" w:lineRule="auto"/>
        <w:ind w:left="-4" w:hanging="10"/>
        <w:jc w:val="both"/>
        <w:rPr>
          <w:color w:val="000000"/>
          <w:lang w:eastAsia="de-DE"/>
        </w:rPr>
      </w:pPr>
      <w:r>
        <w:rPr>
          <w:color w:val="000000"/>
          <w:lang w:eastAsia="de-DE"/>
        </w:rPr>
        <w:t>Farmakokinetický profil tulathromycinu u skotu po podání jednorázové subkutánní dávky 2,5 mg/kg živé hmotnosti byl charakterizován rychlou a výraznou absorpcí a následně rozsáhlou distribucí a pomalou eliminací. Maximální koncentrace (c</w:t>
      </w:r>
      <w:r>
        <w:rPr>
          <w:color w:val="000000"/>
          <w:vertAlign w:val="subscript"/>
          <w:lang w:eastAsia="de-DE"/>
        </w:rPr>
        <w:t>max</w:t>
      </w:r>
      <w:r>
        <w:rPr>
          <w:color w:val="000000"/>
          <w:lang w:eastAsia="de-DE"/>
        </w:rPr>
        <w:t>) v plazmě byla přibližně 0,5 μg/ml; byla dosažena přibližně 30 minut po aplikaci dávky (t</w:t>
      </w:r>
      <w:r>
        <w:rPr>
          <w:color w:val="000000"/>
          <w:vertAlign w:val="subscript"/>
          <w:lang w:eastAsia="de-DE"/>
        </w:rPr>
        <w:t>max</w:t>
      </w:r>
      <w:r>
        <w:rPr>
          <w:color w:val="000000"/>
          <w:lang w:eastAsia="de-DE"/>
        </w:rPr>
        <w:t xml:space="preserve">). Koncentrace tulathromycinu v plicním homogenátu byly podstatně vyšší než v plazmě. Existují jasné důkazy o významné akumulaci tulathromycinu v neutrofilech a alveolárních makrofázích. Avšak </w:t>
      </w:r>
      <w:r>
        <w:rPr>
          <w:i/>
          <w:color w:val="000000"/>
          <w:lang w:eastAsia="de-DE"/>
        </w:rPr>
        <w:t xml:space="preserve">in vivo </w:t>
      </w:r>
      <w:r>
        <w:rPr>
          <w:color w:val="000000"/>
          <w:lang w:eastAsia="de-DE"/>
        </w:rPr>
        <w:t>koncentrace tulathromycinu v místě infekce plic není známa. Maximální koncentrace byly následovány pomalým systémovým poklesem s biologickým poločasem (t</w:t>
      </w:r>
      <w:r>
        <w:rPr>
          <w:color w:val="000000"/>
          <w:vertAlign w:val="subscript"/>
          <w:lang w:eastAsia="de-DE"/>
        </w:rPr>
        <w:t>1/2</w:t>
      </w:r>
      <w:r>
        <w:rPr>
          <w:color w:val="000000"/>
          <w:lang w:eastAsia="de-DE"/>
        </w:rPr>
        <w:t xml:space="preserve">) v plazmě 90 hodin. Vazba na proteiny plazmy byla nízká, přibližně 40 %. </w:t>
      </w:r>
    </w:p>
    <w:p w:rsidR="00DE2DDE" w:rsidRDefault="00DE2DDE" w:rsidP="00DE2DDE">
      <w:pPr>
        <w:ind w:left="-4" w:hanging="10"/>
        <w:jc w:val="both"/>
        <w:rPr>
          <w:color w:val="000000"/>
          <w:lang w:eastAsia="de-DE"/>
        </w:rPr>
      </w:pPr>
      <w:r>
        <w:rPr>
          <w:color w:val="000000"/>
          <w:lang w:eastAsia="de-DE"/>
        </w:rPr>
        <w:t>Distribuční objem v ustáleném stavu (V</w:t>
      </w:r>
      <w:r>
        <w:rPr>
          <w:color w:val="000000"/>
          <w:vertAlign w:val="subscript"/>
          <w:lang w:eastAsia="de-DE"/>
        </w:rPr>
        <w:t>SS</w:t>
      </w:r>
      <w:r>
        <w:rPr>
          <w:color w:val="000000"/>
          <w:lang w:eastAsia="de-DE"/>
        </w:rPr>
        <w:t xml:space="preserve">) stanovený po intravenózní aplikaci byl 11 l/kg. Biologická dostupnost tulathromycinu po subkutánní aplikaci u skotu byla přibližně 90 %.  </w:t>
      </w:r>
    </w:p>
    <w:p w:rsidR="00DE2DDE" w:rsidRDefault="00DE2DDE" w:rsidP="00DE2DDE">
      <w:pPr>
        <w:spacing w:line="254" w:lineRule="auto"/>
        <w:ind w:left="1"/>
        <w:jc w:val="both"/>
        <w:rPr>
          <w:color w:val="000000"/>
          <w:lang w:eastAsia="de-DE"/>
        </w:rPr>
      </w:pPr>
      <w:r>
        <w:rPr>
          <w:color w:val="000000"/>
          <w:lang w:eastAsia="de-DE"/>
        </w:rPr>
        <w:t xml:space="preserve"> </w:t>
      </w:r>
    </w:p>
    <w:p w:rsidR="00DE2DDE" w:rsidRDefault="00DE2DDE" w:rsidP="00DE2DDE">
      <w:pPr>
        <w:spacing w:after="13" w:line="244" w:lineRule="auto"/>
        <w:ind w:left="-4" w:hanging="10"/>
        <w:jc w:val="both"/>
        <w:rPr>
          <w:color w:val="000000"/>
          <w:lang w:eastAsia="de-DE"/>
        </w:rPr>
      </w:pPr>
      <w:r>
        <w:rPr>
          <w:color w:val="000000"/>
          <w:lang w:eastAsia="de-DE"/>
        </w:rPr>
        <w:t xml:space="preserve">Farmakokinetický profil tulathromycinu u prasat po podání jednorázové intramuskulární dávky </w:t>
      </w:r>
    </w:p>
    <w:p w:rsidR="00DE2DDE" w:rsidRDefault="00DE2DDE" w:rsidP="00DE2DDE">
      <w:pPr>
        <w:spacing w:after="13" w:line="244" w:lineRule="auto"/>
        <w:ind w:left="0" w:firstLine="0"/>
        <w:jc w:val="both"/>
        <w:rPr>
          <w:color w:val="000000"/>
          <w:lang w:eastAsia="de-DE"/>
        </w:rPr>
      </w:pPr>
      <w:r>
        <w:rPr>
          <w:color w:val="000000"/>
          <w:lang w:eastAsia="de-DE"/>
        </w:rPr>
        <w:t>2,5 mg/kg živé hmotnosti byl taktéž charakterizován rychlou a výraznou absorpcí a následně rozsáhlou distribucí a pomalou eliminací. Maximální koncentrace (c</w:t>
      </w:r>
      <w:r>
        <w:rPr>
          <w:color w:val="000000"/>
          <w:vertAlign w:val="subscript"/>
          <w:lang w:eastAsia="de-DE"/>
        </w:rPr>
        <w:t>max</w:t>
      </w:r>
      <w:r>
        <w:rPr>
          <w:color w:val="000000"/>
          <w:lang w:eastAsia="de-DE"/>
        </w:rPr>
        <w:t>) v plazmě byla přibližně 0,6 μg /ml; dosažena přibližně 30 minut po aplikaci dávky (t</w:t>
      </w:r>
      <w:r>
        <w:rPr>
          <w:color w:val="000000"/>
          <w:vertAlign w:val="subscript"/>
          <w:lang w:eastAsia="de-DE"/>
        </w:rPr>
        <w:t>max</w:t>
      </w:r>
      <w:r>
        <w:rPr>
          <w:color w:val="000000"/>
          <w:lang w:eastAsia="de-DE"/>
        </w:rPr>
        <w:t xml:space="preserve">). Koncentrace tulathromycinu v plicním homogenátu byly podstatně vyšší než v plazmě. Existují jasné důkazy o významné akumulaci tulathromycinu v neutrofilech a alveolárních makrofázích. Avšak </w:t>
      </w:r>
      <w:r>
        <w:rPr>
          <w:i/>
          <w:color w:val="000000"/>
          <w:lang w:eastAsia="de-DE"/>
        </w:rPr>
        <w:t xml:space="preserve">in vivo </w:t>
      </w:r>
      <w:r>
        <w:rPr>
          <w:color w:val="000000"/>
          <w:lang w:eastAsia="de-DE"/>
        </w:rPr>
        <w:t>koncentrace tulathromycinu v místě infekce plic není známa. Maximální koncentrace byly následovány pomalým systémovým poklesem s biologickým poločasem eliminace (t</w:t>
      </w:r>
      <w:r>
        <w:rPr>
          <w:color w:val="000000"/>
          <w:vertAlign w:val="subscript"/>
          <w:lang w:eastAsia="de-DE"/>
        </w:rPr>
        <w:t>1/2</w:t>
      </w:r>
      <w:r>
        <w:rPr>
          <w:color w:val="000000"/>
          <w:lang w:eastAsia="de-DE"/>
        </w:rPr>
        <w:t>) v plazmě 91 hodin. Vazba na proteiny plazmy byla nízká, přibližně 40%. Distribuční objem v ustáleném stavu (V</w:t>
      </w:r>
      <w:r>
        <w:rPr>
          <w:color w:val="000000"/>
          <w:vertAlign w:val="subscript"/>
          <w:lang w:eastAsia="de-DE"/>
        </w:rPr>
        <w:t>SS</w:t>
      </w:r>
      <w:r>
        <w:rPr>
          <w:color w:val="000000"/>
          <w:lang w:eastAsia="de-DE"/>
        </w:rPr>
        <w:t xml:space="preserve">) stanovený po intravenózní aplikaci byl 13,2 l/kg. Biologická dostupnost tulathromycinu po intramuskulární aplikaci u prasat byla </w:t>
      </w:r>
    </w:p>
    <w:p w:rsidR="00DE2DDE" w:rsidRDefault="00DE2DDE" w:rsidP="00DE2DDE">
      <w:pPr>
        <w:spacing w:after="5" w:line="264" w:lineRule="auto"/>
        <w:ind w:left="-4" w:hanging="10"/>
        <w:jc w:val="both"/>
        <w:rPr>
          <w:color w:val="000000"/>
          <w:lang w:eastAsia="de-DE"/>
        </w:rPr>
      </w:pPr>
      <w:r>
        <w:rPr>
          <w:color w:val="000000"/>
          <w:lang w:eastAsia="de-DE"/>
        </w:rPr>
        <w:t xml:space="preserve">přibližně 88 %.  </w:t>
      </w:r>
    </w:p>
    <w:p w:rsidR="00DE2DDE" w:rsidRDefault="00DE2DDE" w:rsidP="00DE2DDE">
      <w:pPr>
        <w:spacing w:line="254" w:lineRule="auto"/>
        <w:ind w:left="1"/>
        <w:jc w:val="both"/>
        <w:rPr>
          <w:color w:val="000000"/>
          <w:lang w:eastAsia="de-DE"/>
        </w:rPr>
      </w:pPr>
      <w:r>
        <w:rPr>
          <w:color w:val="000000"/>
          <w:lang w:eastAsia="de-DE"/>
        </w:rPr>
        <w:t xml:space="preserve"> </w:t>
      </w:r>
    </w:p>
    <w:p w:rsidR="00DE2DDE" w:rsidRDefault="00DE2DDE" w:rsidP="00DE2DDE">
      <w:pPr>
        <w:spacing w:line="244" w:lineRule="auto"/>
        <w:ind w:left="-4" w:hanging="10"/>
        <w:jc w:val="both"/>
        <w:rPr>
          <w:color w:val="000000"/>
          <w:lang w:eastAsia="de-DE"/>
        </w:rPr>
      </w:pPr>
      <w:r>
        <w:rPr>
          <w:color w:val="000000"/>
          <w:lang w:eastAsia="de-DE"/>
        </w:rPr>
        <w:t>Farmakokinetický profil tulathromycinu u ovcí po podání jednorázové intramuskulární dávky 2,5 mg/kg živé hmotnosti dosáhl maximální koncentrace v plazmě (c</w:t>
      </w:r>
      <w:r>
        <w:rPr>
          <w:color w:val="000000"/>
          <w:vertAlign w:val="subscript"/>
          <w:lang w:eastAsia="de-DE"/>
        </w:rPr>
        <w:t>max</w:t>
      </w:r>
      <w:r>
        <w:rPr>
          <w:color w:val="000000"/>
          <w:lang w:eastAsia="de-DE"/>
        </w:rPr>
        <w:t>) 1,19 μg /ml po přibližně 15 minutách (t</w:t>
      </w:r>
      <w:r>
        <w:rPr>
          <w:color w:val="000000"/>
          <w:vertAlign w:val="subscript"/>
          <w:lang w:eastAsia="de-DE"/>
        </w:rPr>
        <w:t>max</w:t>
      </w:r>
      <w:r>
        <w:rPr>
          <w:color w:val="000000"/>
          <w:lang w:eastAsia="de-DE"/>
        </w:rPr>
        <w:t>) od podání a biologický poločas (t</w:t>
      </w:r>
      <w:r>
        <w:rPr>
          <w:color w:val="000000"/>
          <w:vertAlign w:val="subscript"/>
          <w:lang w:eastAsia="de-DE"/>
        </w:rPr>
        <w:t>1/2</w:t>
      </w:r>
      <w:r>
        <w:rPr>
          <w:color w:val="000000"/>
          <w:lang w:eastAsia="de-DE"/>
        </w:rPr>
        <w:t xml:space="preserve">) byl 69,7 hodiny. Vazba na proteiny plazmy byla </w:t>
      </w:r>
    </w:p>
    <w:p w:rsidR="00DE2DDE" w:rsidRDefault="00DE2DDE" w:rsidP="00DE2DDE">
      <w:pPr>
        <w:spacing w:line="244" w:lineRule="auto"/>
        <w:ind w:left="-4" w:hanging="10"/>
        <w:jc w:val="both"/>
        <w:rPr>
          <w:color w:val="000000"/>
          <w:lang w:eastAsia="de-DE"/>
        </w:rPr>
      </w:pPr>
      <w:r>
        <w:rPr>
          <w:color w:val="000000"/>
          <w:lang w:eastAsia="de-DE"/>
        </w:rPr>
        <w:t>zhruba 60-75 %. Po intravenózním podání byl distribuční objem v ustáleném stavu (V</w:t>
      </w:r>
      <w:r>
        <w:rPr>
          <w:color w:val="000000"/>
          <w:vertAlign w:val="subscript"/>
          <w:lang w:eastAsia="de-DE"/>
        </w:rPr>
        <w:t>ss</w:t>
      </w:r>
      <w:r>
        <w:rPr>
          <w:color w:val="000000"/>
          <w:lang w:eastAsia="de-DE"/>
        </w:rPr>
        <w:t xml:space="preserve">) 31,7 l/kg. Biologická dostupnost tulathromycinu po intramuskulárním podání byla u ovcí 100 %. </w:t>
      </w:r>
    </w:p>
    <w:p w:rsidR="00DE2DDE" w:rsidRDefault="00DE2DDE" w:rsidP="00DE2DDE">
      <w:pPr>
        <w:spacing w:line="254" w:lineRule="auto"/>
        <w:ind w:left="1"/>
        <w:jc w:val="both"/>
        <w:rPr>
          <w:color w:val="000000"/>
          <w:lang w:eastAsia="de-DE"/>
        </w:rPr>
      </w:pPr>
      <w:r>
        <w:rPr>
          <w:b/>
          <w:color w:val="000000"/>
          <w:lang w:eastAsia="de-DE"/>
        </w:rPr>
        <w:t xml:space="preserve"> </w:t>
      </w:r>
    </w:p>
    <w:p w:rsidR="00DE2DDE" w:rsidRDefault="00DE2DDE" w:rsidP="00DE2DDE">
      <w:pPr>
        <w:spacing w:line="254" w:lineRule="auto"/>
        <w:ind w:left="1"/>
        <w:rPr>
          <w:color w:val="000000"/>
          <w:lang w:eastAsia="de-DE"/>
        </w:rPr>
      </w:pPr>
      <w:r>
        <w:rPr>
          <w:b/>
          <w:color w:val="000000"/>
          <w:lang w:eastAsia="de-DE"/>
        </w:rPr>
        <w:t xml:space="preserve"> </w:t>
      </w:r>
    </w:p>
    <w:p w:rsidR="00DE2DDE" w:rsidRDefault="00DE2DDE" w:rsidP="00DE2DDE">
      <w:pPr>
        <w:keepNext/>
        <w:keepLines/>
        <w:tabs>
          <w:tab w:val="center" w:pos="1957"/>
        </w:tabs>
        <w:spacing w:after="10" w:line="244" w:lineRule="auto"/>
        <w:ind w:left="-14" w:firstLine="14"/>
        <w:outlineLvl w:val="0"/>
        <w:rPr>
          <w:b/>
          <w:color w:val="000000"/>
          <w:lang w:eastAsia="de-DE"/>
        </w:rPr>
      </w:pPr>
      <w:r>
        <w:rPr>
          <w:b/>
          <w:color w:val="000000"/>
          <w:lang w:eastAsia="de-DE"/>
        </w:rPr>
        <w:lastRenderedPageBreak/>
        <w:t>6.</w:t>
      </w:r>
      <w:r>
        <w:rPr>
          <w:b/>
          <w:color w:val="000000"/>
          <w:lang w:eastAsia="de-DE"/>
        </w:rPr>
        <w:tab/>
        <w:t xml:space="preserve">FARMACEUTICKÉ ÚDAJE </w:t>
      </w:r>
    </w:p>
    <w:p w:rsidR="00DE2DDE" w:rsidRDefault="00DE2DDE" w:rsidP="00DE2DDE">
      <w:pPr>
        <w:spacing w:line="254" w:lineRule="auto"/>
        <w:ind w:left="1"/>
        <w:rPr>
          <w:color w:val="000000"/>
          <w:lang w:eastAsia="de-DE"/>
        </w:rPr>
      </w:pPr>
      <w:r>
        <w:rPr>
          <w:b/>
          <w:color w:val="000000"/>
          <w:lang w:eastAsia="de-DE"/>
        </w:rPr>
        <w:t xml:space="preserve"> </w:t>
      </w:r>
    </w:p>
    <w:p w:rsidR="00DE2DDE" w:rsidRDefault="00DE2DDE" w:rsidP="00DE2DDE">
      <w:pPr>
        <w:keepNext/>
        <w:keepLines/>
        <w:tabs>
          <w:tab w:val="center" w:pos="1760"/>
        </w:tabs>
        <w:spacing w:after="10" w:line="244" w:lineRule="auto"/>
        <w:ind w:left="-14" w:firstLine="14"/>
        <w:outlineLvl w:val="1"/>
        <w:rPr>
          <w:color w:val="000000"/>
          <w:shd w:val="clear" w:color="auto" w:fill="C1C2C2"/>
          <w:lang w:eastAsia="de-DE"/>
        </w:rPr>
      </w:pPr>
      <w:r>
        <w:rPr>
          <w:b/>
          <w:color w:val="000000"/>
          <w:lang w:eastAsia="de-DE"/>
        </w:rPr>
        <w:t>6.1</w:t>
      </w:r>
      <w:r>
        <w:rPr>
          <w:b/>
          <w:color w:val="000000"/>
          <w:lang w:eastAsia="de-DE"/>
        </w:rPr>
        <w:tab/>
        <w:t xml:space="preserve">Seznam pomocných látek </w:t>
      </w:r>
    </w:p>
    <w:p w:rsidR="00DE2DDE" w:rsidRDefault="00DE2DDE" w:rsidP="00DE2DDE">
      <w:pPr>
        <w:spacing w:line="254" w:lineRule="auto"/>
        <w:rPr>
          <w:color w:val="000000"/>
          <w:lang w:eastAsia="de-DE"/>
        </w:rPr>
      </w:pPr>
      <w:r>
        <w:rPr>
          <w:b/>
          <w:color w:val="000000"/>
          <w:lang w:eastAsia="de-DE"/>
        </w:rPr>
        <w:t xml:space="preserve"> </w:t>
      </w:r>
    </w:p>
    <w:p w:rsidR="00DE2DDE" w:rsidRDefault="00DE2DDE" w:rsidP="00DE2DDE">
      <w:pPr>
        <w:spacing w:after="13" w:line="244" w:lineRule="auto"/>
        <w:ind w:left="-4" w:hanging="10"/>
        <w:rPr>
          <w:color w:val="000000"/>
          <w:lang w:eastAsia="de-DE"/>
        </w:rPr>
      </w:pPr>
      <w:r>
        <w:rPr>
          <w:color w:val="000000"/>
          <w:lang w:eastAsia="de-DE"/>
        </w:rPr>
        <w:t xml:space="preserve">Thioglycerol  </w:t>
      </w:r>
    </w:p>
    <w:p w:rsidR="00DE2DDE" w:rsidRDefault="00DE2DDE" w:rsidP="00DE2DDE">
      <w:pPr>
        <w:spacing w:after="13" w:line="244" w:lineRule="auto"/>
        <w:ind w:left="-4" w:hanging="10"/>
        <w:rPr>
          <w:color w:val="000000"/>
          <w:lang w:eastAsia="de-DE"/>
        </w:rPr>
      </w:pPr>
      <w:r>
        <w:rPr>
          <w:color w:val="000000"/>
          <w:lang w:eastAsia="de-DE"/>
        </w:rPr>
        <w:t xml:space="preserve">Propylenglykol  </w:t>
      </w:r>
    </w:p>
    <w:p w:rsidR="00DE2DDE" w:rsidRDefault="00DE2DDE" w:rsidP="00DE2DDE">
      <w:pPr>
        <w:spacing w:after="13" w:line="244" w:lineRule="auto"/>
        <w:ind w:left="-4" w:hanging="10"/>
        <w:rPr>
          <w:color w:val="000000"/>
          <w:lang w:eastAsia="de-DE"/>
        </w:rPr>
      </w:pPr>
      <w:r>
        <w:rPr>
          <w:color w:val="000000"/>
          <w:lang w:eastAsia="de-DE"/>
        </w:rPr>
        <w:t xml:space="preserve">Kyselina citronová  </w:t>
      </w:r>
    </w:p>
    <w:p w:rsidR="00DE2DDE" w:rsidRDefault="00DE2DDE" w:rsidP="00DE2DDE">
      <w:pPr>
        <w:spacing w:after="13" w:line="244" w:lineRule="auto"/>
        <w:ind w:left="-4" w:hanging="10"/>
        <w:rPr>
          <w:color w:val="000000"/>
          <w:lang w:eastAsia="de-DE"/>
        </w:rPr>
      </w:pPr>
      <w:r>
        <w:rPr>
          <w:color w:val="000000"/>
          <w:lang w:eastAsia="de-DE"/>
        </w:rPr>
        <w:t xml:space="preserve">Kyselina chlorovodíková (pro úpravu pH) </w:t>
      </w:r>
    </w:p>
    <w:p w:rsidR="00DE2DDE" w:rsidRDefault="00DE2DDE" w:rsidP="00DE2DDE">
      <w:pPr>
        <w:spacing w:after="13" w:line="244" w:lineRule="auto"/>
        <w:ind w:left="-4" w:hanging="10"/>
        <w:rPr>
          <w:color w:val="000000"/>
          <w:lang w:eastAsia="de-DE"/>
        </w:rPr>
      </w:pPr>
      <w:r>
        <w:rPr>
          <w:color w:val="000000"/>
          <w:lang w:eastAsia="de-DE"/>
        </w:rPr>
        <w:t xml:space="preserve">Hydroxid sodný (pro úpravu pH) </w:t>
      </w:r>
    </w:p>
    <w:p w:rsidR="00DE2DDE" w:rsidRDefault="00DE2DDE" w:rsidP="00DE2DDE">
      <w:pPr>
        <w:spacing w:after="13" w:line="244" w:lineRule="auto"/>
        <w:ind w:left="-4" w:hanging="10"/>
        <w:rPr>
          <w:color w:val="000000"/>
          <w:lang w:eastAsia="de-DE"/>
        </w:rPr>
      </w:pPr>
      <w:r>
        <w:rPr>
          <w:color w:val="000000"/>
          <w:lang w:eastAsia="de-DE"/>
        </w:rPr>
        <w:t>Voda pro injekci</w:t>
      </w:r>
      <w:r>
        <w:rPr>
          <w:b/>
          <w:color w:val="000000"/>
          <w:lang w:eastAsia="de-DE"/>
        </w:rPr>
        <w:t xml:space="preserve"> </w:t>
      </w:r>
    </w:p>
    <w:p w:rsidR="00DE2DDE" w:rsidRDefault="00DE2DDE" w:rsidP="00DE2DDE">
      <w:pPr>
        <w:spacing w:line="254" w:lineRule="auto"/>
        <w:rPr>
          <w:color w:val="000000"/>
          <w:lang w:eastAsia="de-DE"/>
        </w:rPr>
      </w:pPr>
      <w:r>
        <w:rPr>
          <w:b/>
          <w:color w:val="000000"/>
          <w:lang w:eastAsia="de-DE"/>
        </w:rPr>
        <w:t xml:space="preserve"> </w:t>
      </w:r>
    </w:p>
    <w:p w:rsidR="00DE2DDE" w:rsidRDefault="00DE2DDE" w:rsidP="00DE2DDE">
      <w:pPr>
        <w:keepNext/>
        <w:keepLines/>
        <w:tabs>
          <w:tab w:val="center" w:pos="1641"/>
        </w:tabs>
        <w:spacing w:after="10" w:line="244" w:lineRule="auto"/>
        <w:ind w:left="-14" w:firstLine="14"/>
        <w:outlineLvl w:val="1"/>
        <w:rPr>
          <w:color w:val="000000"/>
          <w:shd w:val="clear" w:color="auto" w:fill="C1C2C2"/>
          <w:lang w:eastAsia="de-DE"/>
        </w:rPr>
      </w:pPr>
      <w:r>
        <w:rPr>
          <w:b/>
          <w:color w:val="000000"/>
          <w:lang w:eastAsia="de-DE"/>
        </w:rPr>
        <w:t>6.2</w:t>
      </w:r>
      <w:r>
        <w:rPr>
          <w:b/>
          <w:color w:val="000000"/>
          <w:lang w:eastAsia="de-DE"/>
        </w:rPr>
        <w:tab/>
        <w:t>Hlavní inkompatibility</w:t>
      </w:r>
      <w:r>
        <w:rPr>
          <w:color w:val="000000"/>
          <w:lang w:eastAsia="de-DE"/>
        </w:rPr>
        <w:t xml:space="preserve"> </w:t>
      </w:r>
    </w:p>
    <w:p w:rsidR="00DE2DDE" w:rsidRDefault="00DE2DDE" w:rsidP="00DE2DDE">
      <w:pPr>
        <w:spacing w:after="24" w:line="254" w:lineRule="auto"/>
        <w:rPr>
          <w:color w:val="000000"/>
          <w:lang w:eastAsia="de-DE"/>
        </w:rPr>
      </w:pPr>
      <w:r>
        <w:rPr>
          <w:color w:val="000000"/>
          <w:lang w:eastAsia="de-DE"/>
        </w:rPr>
        <w:t xml:space="preserve"> </w:t>
      </w:r>
    </w:p>
    <w:p w:rsidR="00DE2DDE" w:rsidRDefault="00DE2DDE" w:rsidP="00DE2DDE">
      <w:pPr>
        <w:spacing w:after="5" w:line="314" w:lineRule="auto"/>
        <w:ind w:left="-4" w:hanging="10"/>
        <w:rPr>
          <w:color w:val="000000"/>
          <w:lang w:eastAsia="de-DE"/>
        </w:rPr>
      </w:pPr>
      <w:r>
        <w:rPr>
          <w:color w:val="000000"/>
          <w:lang w:eastAsia="de-DE"/>
        </w:rPr>
        <w:t xml:space="preserve">Studie kompatibility nejsou k dispozici, a proto tento veterinární léčivý přípravek nesmí být mísen s žádnými dalšími veterinárními léčivými přípravky. </w:t>
      </w:r>
    </w:p>
    <w:p w:rsidR="00DE2DDE" w:rsidRDefault="00DE2DDE" w:rsidP="00DE2DDE">
      <w:pPr>
        <w:spacing w:line="254" w:lineRule="auto"/>
        <w:rPr>
          <w:color w:val="000000"/>
          <w:lang w:eastAsia="de-DE"/>
        </w:rPr>
      </w:pPr>
      <w:r>
        <w:rPr>
          <w:color w:val="000000"/>
          <w:lang w:eastAsia="de-DE"/>
        </w:rPr>
        <w:t xml:space="preserve"> </w:t>
      </w:r>
    </w:p>
    <w:p w:rsidR="00DE2DDE" w:rsidRDefault="00DE2DDE" w:rsidP="00DE2DDE">
      <w:pPr>
        <w:keepNext/>
        <w:keepLines/>
        <w:tabs>
          <w:tab w:val="center" w:pos="1444"/>
        </w:tabs>
        <w:spacing w:after="10" w:line="244" w:lineRule="auto"/>
        <w:ind w:left="-14" w:firstLine="14"/>
        <w:outlineLvl w:val="1"/>
        <w:rPr>
          <w:color w:val="000000"/>
          <w:shd w:val="clear" w:color="auto" w:fill="C1C2C2"/>
          <w:lang w:eastAsia="de-DE"/>
        </w:rPr>
      </w:pPr>
      <w:r>
        <w:rPr>
          <w:b/>
          <w:color w:val="000000"/>
          <w:lang w:eastAsia="de-DE"/>
        </w:rPr>
        <w:t>6.3</w:t>
      </w:r>
      <w:r>
        <w:rPr>
          <w:b/>
          <w:color w:val="000000"/>
          <w:lang w:eastAsia="de-DE"/>
        </w:rPr>
        <w:tab/>
        <w:t>Doba použitelnosti</w:t>
      </w:r>
      <w:r>
        <w:rPr>
          <w:color w:val="000000"/>
          <w:lang w:eastAsia="de-DE"/>
        </w:rPr>
        <w:t xml:space="preserve"> </w:t>
      </w:r>
    </w:p>
    <w:p w:rsidR="00DE2DDE" w:rsidRDefault="00DE2DDE" w:rsidP="00DE2DDE">
      <w:pPr>
        <w:spacing w:after="48" w:line="254" w:lineRule="auto"/>
        <w:rPr>
          <w:color w:val="000000"/>
          <w:lang w:eastAsia="de-DE"/>
        </w:rPr>
      </w:pPr>
      <w:r>
        <w:rPr>
          <w:color w:val="000000"/>
          <w:lang w:eastAsia="de-DE"/>
        </w:rPr>
        <w:t xml:space="preserve"> </w:t>
      </w:r>
    </w:p>
    <w:p w:rsidR="00DE2DDE" w:rsidRDefault="00DE2DDE" w:rsidP="00DE2DDE">
      <w:pPr>
        <w:spacing w:after="55" w:line="254" w:lineRule="auto"/>
        <w:rPr>
          <w:color w:val="000000"/>
          <w:lang w:eastAsia="de-DE"/>
        </w:rPr>
      </w:pPr>
      <w:r>
        <w:rPr>
          <w:color w:val="000000"/>
          <w:lang w:eastAsia="de-DE"/>
        </w:rPr>
        <w:t xml:space="preserve">Doba použitelnosti veterinárního léčivého přípravku v neporušeném obalu: </w:t>
      </w:r>
      <w:r w:rsidR="00D97870">
        <w:rPr>
          <w:color w:val="000000"/>
          <w:lang w:eastAsia="de-DE"/>
        </w:rPr>
        <w:t xml:space="preserve">3 </w:t>
      </w:r>
      <w:r>
        <w:rPr>
          <w:color w:val="000000"/>
          <w:lang w:eastAsia="de-DE"/>
        </w:rPr>
        <w:t>roky.</w:t>
      </w:r>
    </w:p>
    <w:p w:rsidR="00DE2DDE" w:rsidRDefault="00DE2DDE" w:rsidP="00DE2DDE">
      <w:pPr>
        <w:spacing w:after="55" w:line="254" w:lineRule="auto"/>
        <w:rPr>
          <w:color w:val="000000"/>
          <w:lang w:eastAsia="de-DE"/>
        </w:rPr>
      </w:pPr>
      <w:r>
        <w:rPr>
          <w:color w:val="000000"/>
          <w:lang w:eastAsia="de-DE"/>
        </w:rPr>
        <w:t>Doba použitelnosti po prvním otevření vnitřního obalu: 28 dní.</w:t>
      </w:r>
    </w:p>
    <w:p w:rsidR="00DE2DDE" w:rsidRDefault="00DE2DDE" w:rsidP="00DE2DDE">
      <w:pPr>
        <w:spacing w:after="55" w:line="254" w:lineRule="auto"/>
        <w:rPr>
          <w:color w:val="000000"/>
          <w:lang w:eastAsia="de-DE"/>
        </w:rPr>
      </w:pPr>
      <w:r>
        <w:rPr>
          <w:color w:val="000000"/>
          <w:lang w:eastAsia="de-DE"/>
        </w:rPr>
        <w:t xml:space="preserve"> </w:t>
      </w:r>
    </w:p>
    <w:p w:rsidR="00DE2DDE" w:rsidRDefault="00DE2DDE" w:rsidP="00DE2DDE">
      <w:pPr>
        <w:tabs>
          <w:tab w:val="center" w:pos="2136"/>
        </w:tabs>
        <w:spacing w:after="3" w:line="264" w:lineRule="auto"/>
        <w:ind w:left="-14" w:firstLine="14"/>
        <w:rPr>
          <w:color w:val="000000"/>
          <w:lang w:eastAsia="de-DE"/>
        </w:rPr>
      </w:pPr>
      <w:r>
        <w:rPr>
          <w:b/>
          <w:color w:val="000000"/>
          <w:lang w:eastAsia="de-DE"/>
        </w:rPr>
        <w:t>6.4</w:t>
      </w:r>
      <w:r>
        <w:rPr>
          <w:b/>
          <w:color w:val="000000"/>
          <w:lang w:eastAsia="de-DE"/>
        </w:rPr>
        <w:tab/>
        <w:t>Zvláštní opatření pro uchovávání</w:t>
      </w:r>
      <w:r>
        <w:rPr>
          <w:color w:val="000000"/>
          <w:lang w:eastAsia="de-DE"/>
        </w:rPr>
        <w:t xml:space="preserve"> </w:t>
      </w:r>
    </w:p>
    <w:p w:rsidR="00DE2DDE" w:rsidRDefault="00DE2DDE" w:rsidP="00DE2DDE">
      <w:pPr>
        <w:spacing w:after="54" w:line="254" w:lineRule="auto"/>
        <w:rPr>
          <w:color w:val="000000"/>
          <w:lang w:eastAsia="de-DE"/>
        </w:rPr>
      </w:pPr>
      <w:r>
        <w:rPr>
          <w:color w:val="000000"/>
          <w:lang w:eastAsia="de-DE"/>
        </w:rPr>
        <w:t xml:space="preserve"> </w:t>
      </w:r>
    </w:p>
    <w:p w:rsidR="00DE2DDE" w:rsidRDefault="00DE2DDE" w:rsidP="00DE2DDE">
      <w:pPr>
        <w:spacing w:after="57" w:line="254" w:lineRule="auto"/>
        <w:rPr>
          <w:color w:val="000000"/>
          <w:lang w:eastAsia="de-DE"/>
        </w:rPr>
      </w:pPr>
      <w:r>
        <w:rPr>
          <w:color w:val="000000"/>
          <w:lang w:eastAsia="de-DE"/>
        </w:rPr>
        <w:t xml:space="preserve">Uchovávejte při teplotě do 30 </w:t>
      </w:r>
      <w:r>
        <w:rPr>
          <w:color w:val="000000"/>
          <w:lang w:eastAsia="de-DE"/>
        </w:rPr>
        <w:sym w:font="Symbol" w:char="F0B0"/>
      </w:r>
      <w:r>
        <w:rPr>
          <w:color w:val="000000"/>
          <w:lang w:eastAsia="de-DE"/>
        </w:rPr>
        <w:t xml:space="preserve">C. </w:t>
      </w:r>
    </w:p>
    <w:p w:rsidR="00DE2DDE" w:rsidRDefault="00DE2DDE" w:rsidP="00DE2DDE">
      <w:pPr>
        <w:spacing w:after="57" w:line="254" w:lineRule="auto"/>
        <w:rPr>
          <w:color w:val="000000"/>
          <w:lang w:eastAsia="de-DE"/>
        </w:rPr>
      </w:pPr>
      <w:r>
        <w:rPr>
          <w:color w:val="000000"/>
          <w:lang w:eastAsia="de-DE"/>
        </w:rPr>
        <w:t xml:space="preserve"> </w:t>
      </w:r>
    </w:p>
    <w:p w:rsidR="00DE2DDE" w:rsidRDefault="00DE2DDE" w:rsidP="00DE2DDE">
      <w:pPr>
        <w:keepNext/>
        <w:keepLines/>
        <w:tabs>
          <w:tab w:val="center" w:pos="2004"/>
        </w:tabs>
        <w:spacing w:after="3" w:line="264" w:lineRule="auto"/>
        <w:ind w:left="-14" w:firstLine="14"/>
        <w:outlineLvl w:val="1"/>
        <w:rPr>
          <w:color w:val="000000"/>
          <w:shd w:val="clear" w:color="auto" w:fill="C1C2C2"/>
          <w:lang w:eastAsia="de-DE"/>
        </w:rPr>
      </w:pPr>
      <w:r>
        <w:rPr>
          <w:b/>
          <w:color w:val="000000"/>
          <w:lang w:eastAsia="de-DE"/>
        </w:rPr>
        <w:t>6.5</w:t>
      </w:r>
      <w:r>
        <w:rPr>
          <w:b/>
          <w:color w:val="000000"/>
          <w:lang w:eastAsia="de-DE"/>
        </w:rPr>
        <w:tab/>
        <w:t>Druh a složení vnitřního obalu</w:t>
      </w:r>
      <w:r>
        <w:rPr>
          <w:color w:val="000000"/>
          <w:lang w:eastAsia="de-DE"/>
        </w:rPr>
        <w:t xml:space="preserve"> </w:t>
      </w:r>
    </w:p>
    <w:p w:rsidR="00DE2DDE" w:rsidRDefault="00DE2DDE" w:rsidP="00DE2DDE">
      <w:pPr>
        <w:spacing w:after="14" w:line="254" w:lineRule="auto"/>
        <w:rPr>
          <w:color w:val="000000"/>
          <w:lang w:eastAsia="de-DE"/>
        </w:rPr>
      </w:pPr>
      <w:r>
        <w:rPr>
          <w:color w:val="000000"/>
          <w:lang w:eastAsia="de-DE"/>
        </w:rPr>
        <w:t xml:space="preserve"> </w:t>
      </w:r>
    </w:p>
    <w:p w:rsidR="00DE2DDE" w:rsidRDefault="00DE2DDE" w:rsidP="00DE2DDE">
      <w:pPr>
        <w:spacing w:after="13" w:line="244" w:lineRule="auto"/>
        <w:ind w:left="-4" w:hanging="10"/>
        <w:rPr>
          <w:color w:val="000000"/>
          <w:lang w:eastAsia="de-DE"/>
        </w:rPr>
      </w:pPr>
      <w:r>
        <w:rPr>
          <w:color w:val="000000"/>
          <w:lang w:eastAsia="de-DE"/>
        </w:rPr>
        <w:t xml:space="preserve">Injekční lahvičky z čirého skla (typ II Ph. Eur.) uzavřené bromobutylovou gumovou zátkou a hliníkovou pertlí. </w:t>
      </w:r>
    </w:p>
    <w:p w:rsidR="00DE2DDE" w:rsidRDefault="00DE2DDE" w:rsidP="00DE2DDE">
      <w:pPr>
        <w:spacing w:line="254" w:lineRule="auto"/>
        <w:rPr>
          <w:color w:val="000000"/>
          <w:lang w:eastAsia="de-DE"/>
        </w:rPr>
      </w:pPr>
    </w:p>
    <w:p w:rsidR="00DE2DDE" w:rsidRDefault="00DE2DDE" w:rsidP="00DE2DDE">
      <w:pPr>
        <w:spacing w:after="52" w:line="254" w:lineRule="auto"/>
        <w:ind w:left="-4" w:hanging="10"/>
        <w:rPr>
          <w:color w:val="000000"/>
          <w:lang w:eastAsia="de-DE"/>
        </w:rPr>
      </w:pPr>
      <w:r>
        <w:rPr>
          <w:color w:val="000000"/>
          <w:u w:val="single" w:color="000000"/>
          <w:lang w:eastAsia="de-DE"/>
        </w:rPr>
        <w:t>Velikosti balení:</w:t>
      </w:r>
      <w:r>
        <w:rPr>
          <w:color w:val="000000"/>
          <w:lang w:eastAsia="de-DE"/>
        </w:rPr>
        <w:t xml:space="preserve"> </w:t>
      </w:r>
    </w:p>
    <w:p w:rsidR="00DE2DDE" w:rsidRDefault="00DE2DDE" w:rsidP="00DE2DDE">
      <w:pPr>
        <w:spacing w:after="5" w:line="264" w:lineRule="auto"/>
        <w:ind w:left="-4" w:hanging="10"/>
        <w:rPr>
          <w:color w:val="000000"/>
          <w:lang w:eastAsia="de-DE"/>
        </w:rPr>
      </w:pPr>
      <w:r>
        <w:rPr>
          <w:color w:val="000000"/>
          <w:lang w:eastAsia="de-DE"/>
        </w:rPr>
        <w:t xml:space="preserve">Papírová krabička obsahující 1 injekční lahvičku o objemu 20 ml </w:t>
      </w:r>
    </w:p>
    <w:p w:rsidR="00DE2DDE" w:rsidRDefault="00DE2DDE" w:rsidP="00DE2DDE">
      <w:pPr>
        <w:spacing w:after="5" w:line="264" w:lineRule="auto"/>
        <w:ind w:left="-4" w:hanging="10"/>
        <w:rPr>
          <w:color w:val="000000"/>
          <w:lang w:eastAsia="de-DE"/>
        </w:rPr>
      </w:pPr>
      <w:r>
        <w:rPr>
          <w:color w:val="000000"/>
          <w:lang w:eastAsia="de-DE"/>
        </w:rPr>
        <w:t xml:space="preserve">Papírová krabička obsahující 1 injekční lahvičku o objemu 50 ml </w:t>
      </w:r>
    </w:p>
    <w:p w:rsidR="00DE2DDE" w:rsidRDefault="00DE2DDE" w:rsidP="00DE2DDE">
      <w:pPr>
        <w:spacing w:after="5" w:line="264" w:lineRule="auto"/>
        <w:ind w:left="-4" w:hanging="10"/>
        <w:rPr>
          <w:color w:val="000000"/>
          <w:lang w:eastAsia="de-DE"/>
        </w:rPr>
      </w:pPr>
      <w:r>
        <w:rPr>
          <w:color w:val="000000"/>
          <w:lang w:eastAsia="de-DE"/>
        </w:rPr>
        <w:t xml:space="preserve">Papírová krabička obsahující 1 injekční lahvičku o objemu 100 ml </w:t>
      </w:r>
    </w:p>
    <w:p w:rsidR="00DE2DDE" w:rsidRDefault="00DE2DDE" w:rsidP="00DE2DDE">
      <w:pPr>
        <w:spacing w:after="67" w:line="264" w:lineRule="auto"/>
        <w:ind w:left="-4" w:hanging="10"/>
        <w:rPr>
          <w:color w:val="000000"/>
          <w:lang w:eastAsia="de-DE"/>
        </w:rPr>
      </w:pPr>
      <w:r>
        <w:rPr>
          <w:color w:val="000000"/>
          <w:lang w:eastAsia="de-DE"/>
        </w:rPr>
        <w:t xml:space="preserve">Papírová krabička obsahující 1 injekční lahvičku o objemu 250 ml </w:t>
      </w:r>
    </w:p>
    <w:p w:rsidR="00DE2DDE" w:rsidRDefault="00DE2DDE" w:rsidP="00DE2DDE">
      <w:pPr>
        <w:spacing w:after="13" w:line="244" w:lineRule="auto"/>
        <w:ind w:left="-4" w:right="1765" w:hanging="10"/>
        <w:rPr>
          <w:color w:val="000000"/>
          <w:lang w:eastAsia="de-DE"/>
        </w:rPr>
      </w:pPr>
      <w:r>
        <w:rPr>
          <w:color w:val="000000"/>
          <w:lang w:eastAsia="de-DE"/>
        </w:rPr>
        <w:t xml:space="preserve">Na trhu nemusí být všechny velikosti balení. </w:t>
      </w:r>
    </w:p>
    <w:p w:rsidR="00DE2DDE" w:rsidRDefault="00DE2DDE" w:rsidP="00DE2DDE">
      <w:pPr>
        <w:spacing w:after="61" w:line="254" w:lineRule="auto"/>
        <w:ind w:left="1"/>
        <w:rPr>
          <w:color w:val="000000"/>
          <w:lang w:eastAsia="de-DE"/>
        </w:rPr>
      </w:pPr>
      <w:r>
        <w:rPr>
          <w:color w:val="000000"/>
          <w:lang w:eastAsia="de-DE"/>
        </w:rPr>
        <w:t xml:space="preserve"> </w:t>
      </w:r>
    </w:p>
    <w:p w:rsidR="00DE2DDE" w:rsidRDefault="00DE2DDE" w:rsidP="00DE2DDE">
      <w:pPr>
        <w:keepNext/>
        <w:keepLines/>
        <w:spacing w:after="27" w:line="264" w:lineRule="auto"/>
        <w:ind w:left="-4" w:right="58" w:hanging="10"/>
        <w:outlineLvl w:val="1"/>
        <w:rPr>
          <w:color w:val="000000"/>
          <w:shd w:val="clear" w:color="auto" w:fill="C1C2C2"/>
          <w:lang w:eastAsia="de-DE"/>
        </w:rPr>
      </w:pPr>
      <w:r>
        <w:rPr>
          <w:b/>
          <w:color w:val="000000"/>
          <w:lang w:eastAsia="de-DE"/>
        </w:rPr>
        <w:t xml:space="preserve">6.6 </w:t>
      </w:r>
      <w:r>
        <w:rPr>
          <w:b/>
          <w:color w:val="000000"/>
          <w:lang w:eastAsia="de-DE"/>
        </w:rPr>
        <w:tab/>
        <w:t xml:space="preserve">Zvláštní opatření pro zneškodňování nepoužitého veterinárního léčivého přípravku nebo odpadu, který pochází z tohoto přípravku  </w:t>
      </w:r>
    </w:p>
    <w:p w:rsidR="00DE2DDE" w:rsidRDefault="00DE2DDE" w:rsidP="00DE2DDE">
      <w:pPr>
        <w:keepNext/>
        <w:spacing w:line="254" w:lineRule="auto"/>
        <w:ind w:left="1"/>
        <w:rPr>
          <w:color w:val="000000"/>
          <w:lang w:eastAsia="de-DE"/>
        </w:rPr>
      </w:pPr>
      <w:r>
        <w:rPr>
          <w:color w:val="000000"/>
          <w:lang w:eastAsia="de-DE"/>
        </w:rPr>
        <w:t xml:space="preserve"> </w:t>
      </w:r>
    </w:p>
    <w:p w:rsidR="00DE2DDE" w:rsidRDefault="00DE2DDE" w:rsidP="00DE2DDE">
      <w:pPr>
        <w:spacing w:after="30" w:line="264" w:lineRule="auto"/>
        <w:ind w:left="-4" w:hanging="10"/>
        <w:rPr>
          <w:color w:val="000000"/>
          <w:lang w:eastAsia="de-DE"/>
        </w:rPr>
      </w:pPr>
      <w:r>
        <w:rPr>
          <w:color w:val="000000"/>
          <w:lang w:eastAsia="de-DE"/>
        </w:rPr>
        <w:t xml:space="preserve">Všechen nepoužitý veterinární léčivý přípravek nebo odpad, který pochází z tohoto přípravku, musí být likvidován podle místních právních předpisů.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keepNext/>
        <w:keepLines/>
        <w:tabs>
          <w:tab w:val="center" w:pos="2691"/>
        </w:tabs>
        <w:spacing w:after="10" w:line="244" w:lineRule="auto"/>
        <w:ind w:left="-14" w:firstLine="14"/>
        <w:outlineLvl w:val="0"/>
        <w:rPr>
          <w:b/>
          <w:color w:val="000000"/>
          <w:lang w:eastAsia="de-DE"/>
        </w:rPr>
      </w:pPr>
      <w:r>
        <w:rPr>
          <w:b/>
          <w:color w:val="000000"/>
          <w:lang w:eastAsia="de-DE"/>
        </w:rPr>
        <w:t>7.</w:t>
      </w:r>
      <w:r>
        <w:rPr>
          <w:b/>
          <w:color w:val="000000"/>
          <w:lang w:eastAsia="de-DE"/>
        </w:rPr>
        <w:tab/>
        <w:t xml:space="preserve">DRŽITEL ROZHODNUTÍ O REGISTRACI  </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spacing w:after="5"/>
        <w:ind w:left="11" w:hanging="10"/>
        <w:rPr>
          <w:color w:val="000000"/>
          <w:lang w:eastAsia="de-DE"/>
        </w:rPr>
      </w:pPr>
      <w:r>
        <w:rPr>
          <w:color w:val="000000"/>
          <w:lang w:eastAsia="de-DE"/>
        </w:rPr>
        <w:t>LIVISTO Int’l, S.L.</w:t>
      </w:r>
    </w:p>
    <w:p w:rsidR="00DE2DDE" w:rsidRDefault="00DE2DDE" w:rsidP="00DE2DDE">
      <w:pPr>
        <w:spacing w:after="5"/>
        <w:ind w:left="11" w:hanging="10"/>
        <w:rPr>
          <w:color w:val="000000"/>
          <w:lang w:eastAsia="de-DE"/>
        </w:rPr>
      </w:pPr>
      <w:r>
        <w:rPr>
          <w:color w:val="000000"/>
          <w:lang w:eastAsia="de-DE"/>
        </w:rPr>
        <w:t>Av. Universitat Autònoma, 29</w:t>
      </w:r>
    </w:p>
    <w:p w:rsidR="00DE2DDE" w:rsidRDefault="00DE2DDE" w:rsidP="00DE2DDE">
      <w:pPr>
        <w:spacing w:after="5"/>
        <w:ind w:left="11" w:hanging="10"/>
        <w:rPr>
          <w:color w:val="000000"/>
          <w:lang w:eastAsia="de-DE"/>
        </w:rPr>
      </w:pPr>
      <w:r>
        <w:rPr>
          <w:color w:val="000000"/>
          <w:lang w:eastAsia="de-DE"/>
        </w:rPr>
        <w:t>08290 Cerdanyola del Vallès (Barcelona)</w:t>
      </w:r>
    </w:p>
    <w:p w:rsidR="00DE2DDE" w:rsidRDefault="00DE2DDE" w:rsidP="00DE2DDE">
      <w:pPr>
        <w:spacing w:after="5"/>
        <w:ind w:left="11" w:hanging="10"/>
        <w:rPr>
          <w:color w:val="000000"/>
          <w:lang w:eastAsia="de-DE"/>
        </w:rPr>
      </w:pPr>
      <w:r>
        <w:rPr>
          <w:color w:val="000000"/>
          <w:lang w:eastAsia="de-DE"/>
        </w:rPr>
        <w:t>Španělsko</w:t>
      </w: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spacing w:after="56" w:line="254" w:lineRule="auto"/>
        <w:ind w:left="1"/>
        <w:rPr>
          <w:color w:val="000000"/>
          <w:lang w:eastAsia="de-DE"/>
        </w:rPr>
      </w:pPr>
      <w:r>
        <w:rPr>
          <w:color w:val="000000"/>
          <w:lang w:eastAsia="de-DE"/>
        </w:rPr>
        <w:lastRenderedPageBreak/>
        <w:t xml:space="preserve"> </w:t>
      </w:r>
    </w:p>
    <w:p w:rsidR="00DE2DDE" w:rsidRDefault="00DE2DDE" w:rsidP="00DE2DDE">
      <w:pPr>
        <w:spacing w:after="5"/>
        <w:ind w:left="11" w:hanging="10"/>
        <w:rPr>
          <w:color w:val="000000"/>
          <w:lang w:eastAsia="de-DE"/>
        </w:rPr>
      </w:pPr>
      <w:r>
        <w:rPr>
          <w:b/>
          <w:color w:val="000000"/>
          <w:lang w:eastAsia="de-DE"/>
        </w:rPr>
        <w:t>8.</w:t>
      </w:r>
      <w:r>
        <w:rPr>
          <w:b/>
          <w:color w:val="000000"/>
          <w:lang w:eastAsia="de-DE"/>
        </w:rPr>
        <w:tab/>
        <w:t>REGISTRAČNÍ ČÍSLO(A)</w:t>
      </w:r>
    </w:p>
    <w:p w:rsidR="00DE2DDE" w:rsidRDefault="00DE2DDE" w:rsidP="00DE2DDE">
      <w:pPr>
        <w:spacing w:after="5"/>
        <w:ind w:left="11" w:hanging="10"/>
        <w:rPr>
          <w:color w:val="000000"/>
          <w:lang w:eastAsia="de-DE"/>
        </w:rPr>
      </w:pPr>
    </w:p>
    <w:p w:rsidR="00DE2DDE" w:rsidRDefault="00DE2DDE" w:rsidP="00DE2DDE">
      <w:pPr>
        <w:spacing w:after="5"/>
        <w:ind w:left="11" w:hanging="10"/>
        <w:rPr>
          <w:color w:val="000000"/>
          <w:lang w:eastAsia="de-DE"/>
        </w:rPr>
      </w:pPr>
      <w:r>
        <w:rPr>
          <w:color w:val="000000"/>
          <w:lang w:eastAsia="de-DE"/>
        </w:rPr>
        <w:t>96/070/20-C</w:t>
      </w:r>
    </w:p>
    <w:p w:rsidR="00DE2DDE" w:rsidRDefault="00DE2DDE" w:rsidP="00DE2DDE">
      <w:pPr>
        <w:spacing w:after="5"/>
        <w:ind w:left="11" w:hanging="10"/>
        <w:rPr>
          <w:color w:val="000000"/>
          <w:lang w:eastAsia="de-DE"/>
        </w:rPr>
      </w:pPr>
    </w:p>
    <w:p w:rsidR="00DE2DDE" w:rsidRDefault="00DE2DDE" w:rsidP="00DE2DDE">
      <w:pPr>
        <w:spacing w:after="5"/>
        <w:ind w:left="11" w:hanging="10"/>
        <w:rPr>
          <w:color w:val="000000"/>
          <w:lang w:eastAsia="de-DE"/>
        </w:rPr>
      </w:pPr>
    </w:p>
    <w:p w:rsidR="00DE2DDE" w:rsidRDefault="00DE2DDE" w:rsidP="00DE2DDE">
      <w:pPr>
        <w:spacing w:after="5"/>
        <w:ind w:left="11" w:hanging="10"/>
        <w:rPr>
          <w:color w:val="000000"/>
          <w:lang w:eastAsia="de-DE"/>
        </w:rPr>
      </w:pPr>
      <w:r>
        <w:rPr>
          <w:b/>
          <w:color w:val="000000"/>
          <w:lang w:eastAsia="de-DE"/>
        </w:rPr>
        <w:t>9.</w:t>
      </w:r>
      <w:r>
        <w:rPr>
          <w:b/>
          <w:color w:val="000000"/>
          <w:lang w:eastAsia="de-DE"/>
        </w:rPr>
        <w:tab/>
        <w:t>DATUM REGISTRACE/ PRODLOUŽENÍ REGISTRACE</w:t>
      </w:r>
    </w:p>
    <w:p w:rsidR="00DE2DDE" w:rsidRDefault="00DE2DDE" w:rsidP="00DE2DDE">
      <w:pPr>
        <w:spacing w:after="5"/>
        <w:ind w:left="11" w:hanging="10"/>
        <w:rPr>
          <w:color w:val="000000"/>
          <w:lang w:eastAsia="de-DE"/>
        </w:rPr>
      </w:pPr>
    </w:p>
    <w:p w:rsidR="00DE2DDE" w:rsidRDefault="00DE2DDE" w:rsidP="00DE2DDE">
      <w:pPr>
        <w:spacing w:after="5"/>
        <w:ind w:left="11" w:hanging="10"/>
        <w:rPr>
          <w:color w:val="000000"/>
          <w:lang w:eastAsia="de-DE"/>
        </w:rPr>
      </w:pPr>
      <w:r>
        <w:rPr>
          <w:color w:val="000000"/>
          <w:lang w:eastAsia="de-DE"/>
        </w:rPr>
        <w:t>10. 11. 2020</w:t>
      </w:r>
    </w:p>
    <w:p w:rsidR="00DE2DDE" w:rsidRDefault="00DE2DDE" w:rsidP="00DE2DDE">
      <w:pPr>
        <w:spacing w:after="5"/>
        <w:ind w:left="11" w:hanging="10"/>
        <w:rPr>
          <w:color w:val="000000"/>
          <w:lang w:eastAsia="de-DE"/>
        </w:rPr>
      </w:pPr>
    </w:p>
    <w:p w:rsidR="00DE2DDE" w:rsidRDefault="00DE2DDE" w:rsidP="00DE2DDE">
      <w:pPr>
        <w:spacing w:after="5"/>
        <w:ind w:left="11" w:hanging="10"/>
        <w:rPr>
          <w:color w:val="000000"/>
          <w:lang w:eastAsia="de-DE"/>
        </w:rPr>
      </w:pPr>
    </w:p>
    <w:p w:rsidR="00DE2DDE" w:rsidRDefault="00DE2DDE" w:rsidP="00DE2DDE">
      <w:pPr>
        <w:spacing w:after="5"/>
        <w:ind w:left="11" w:hanging="10"/>
        <w:rPr>
          <w:b/>
          <w:color w:val="000000"/>
          <w:lang w:eastAsia="de-DE"/>
        </w:rPr>
      </w:pPr>
      <w:r>
        <w:rPr>
          <w:b/>
          <w:color w:val="000000"/>
          <w:lang w:eastAsia="de-DE"/>
        </w:rPr>
        <w:t>10.</w:t>
      </w:r>
      <w:r>
        <w:rPr>
          <w:b/>
          <w:color w:val="000000"/>
          <w:lang w:eastAsia="de-DE"/>
        </w:rPr>
        <w:tab/>
        <w:t>DATUM REVIZE TEXTU</w:t>
      </w:r>
    </w:p>
    <w:p w:rsidR="00DE2DDE" w:rsidRDefault="00DE2DDE" w:rsidP="00DE2DDE">
      <w:pPr>
        <w:spacing w:after="5"/>
        <w:ind w:left="11" w:hanging="10"/>
        <w:rPr>
          <w:color w:val="000000"/>
          <w:lang w:eastAsia="de-DE"/>
        </w:rPr>
      </w:pPr>
    </w:p>
    <w:p w:rsidR="00DE2DDE" w:rsidRDefault="00D33AFE" w:rsidP="00DE2DDE">
      <w:pPr>
        <w:spacing w:after="5"/>
        <w:rPr>
          <w:color w:val="000000"/>
          <w:lang w:eastAsia="de-DE"/>
        </w:rPr>
      </w:pPr>
      <w:r>
        <w:rPr>
          <w:color w:val="000000"/>
          <w:lang w:eastAsia="de-DE"/>
        </w:rPr>
        <w:t>Září</w:t>
      </w:r>
      <w:r w:rsidR="00DE2DDE">
        <w:rPr>
          <w:color w:val="000000"/>
          <w:lang w:eastAsia="de-DE"/>
        </w:rPr>
        <w:t xml:space="preserve"> </w:t>
      </w:r>
      <w:r w:rsidR="00D97870">
        <w:rPr>
          <w:color w:val="000000"/>
          <w:lang w:eastAsia="de-DE"/>
        </w:rPr>
        <w:t>2022</w:t>
      </w:r>
    </w:p>
    <w:p w:rsidR="00DE2DDE" w:rsidRDefault="00DE2DDE" w:rsidP="00DE2DDE">
      <w:pPr>
        <w:spacing w:after="5"/>
        <w:ind w:left="11" w:hanging="10"/>
        <w:rPr>
          <w:color w:val="000000"/>
          <w:lang w:eastAsia="de-DE"/>
        </w:rPr>
      </w:pPr>
    </w:p>
    <w:p w:rsidR="00DE2DDE" w:rsidRDefault="00DE2DDE" w:rsidP="00DE2DDE">
      <w:pPr>
        <w:spacing w:after="5"/>
        <w:ind w:left="11" w:hanging="10"/>
        <w:rPr>
          <w:b/>
          <w:color w:val="000000"/>
          <w:lang w:eastAsia="de-DE"/>
        </w:rPr>
      </w:pPr>
      <w:r>
        <w:rPr>
          <w:b/>
          <w:color w:val="000000"/>
          <w:lang w:eastAsia="de-DE"/>
        </w:rPr>
        <w:t>DALŠÍ INFORMACE</w:t>
      </w:r>
    </w:p>
    <w:p w:rsidR="00DE2DDE" w:rsidRDefault="00DE2DDE" w:rsidP="00DE2DDE">
      <w:pPr>
        <w:spacing w:after="5"/>
        <w:ind w:left="11" w:hanging="10"/>
        <w:rPr>
          <w:color w:val="000000"/>
          <w:lang w:eastAsia="de-DE"/>
        </w:rPr>
      </w:pPr>
    </w:p>
    <w:p w:rsidR="00DE2DDE" w:rsidRDefault="00DE2DDE" w:rsidP="00DE2DDE">
      <w:pPr>
        <w:spacing w:after="5"/>
        <w:ind w:left="11" w:hanging="10"/>
        <w:rPr>
          <w:color w:val="000000"/>
          <w:lang w:eastAsia="de-DE"/>
        </w:rPr>
      </w:pPr>
      <w:r>
        <w:rPr>
          <w:color w:val="000000"/>
          <w:lang w:eastAsia="de-DE"/>
        </w:rPr>
        <w:t>Veterinární léčivý přípravek je vydáván pouze na předpis.</w:t>
      </w:r>
    </w:p>
    <w:p w:rsidR="00DE2DDE" w:rsidRDefault="00DE2DDE" w:rsidP="00DE2DDE">
      <w:pPr>
        <w:spacing w:after="5"/>
        <w:ind w:left="11" w:hanging="10"/>
        <w:rPr>
          <w:color w:val="000000"/>
          <w:lang w:eastAsia="de-DE"/>
        </w:rPr>
      </w:pPr>
    </w:p>
    <w:p w:rsidR="00DE2DDE" w:rsidRDefault="00DE2DDE" w:rsidP="00DE2DDE">
      <w:pPr>
        <w:spacing w:line="254" w:lineRule="auto"/>
        <w:ind w:left="1"/>
        <w:rPr>
          <w:color w:val="000000"/>
          <w:lang w:eastAsia="de-DE"/>
        </w:rPr>
      </w:pPr>
      <w:r>
        <w:rPr>
          <w:color w:val="000000"/>
          <w:lang w:eastAsia="de-DE"/>
        </w:rPr>
        <w:t xml:space="preserve"> </w:t>
      </w:r>
    </w:p>
    <w:p w:rsidR="00DE2DDE" w:rsidRDefault="00DE2DDE" w:rsidP="00DE2DDE">
      <w:pPr>
        <w:spacing w:line="254" w:lineRule="auto"/>
        <w:ind w:left="1"/>
        <w:rPr>
          <w:color w:val="000000"/>
          <w:lang w:eastAsia="de-DE"/>
        </w:rPr>
      </w:pPr>
      <w:r>
        <w:rPr>
          <w:b/>
          <w:color w:val="000000"/>
          <w:lang w:eastAsia="de-DE"/>
        </w:rPr>
        <w:t xml:space="preserve"> </w:t>
      </w:r>
      <w:r>
        <w:rPr>
          <w:b/>
          <w:color w:val="000000"/>
          <w:lang w:eastAsia="de-DE"/>
        </w:rPr>
        <w:tab/>
        <w:t xml:space="preserve"> </w:t>
      </w:r>
    </w:p>
    <w:p w:rsidR="00DE2DDE" w:rsidRDefault="00DE2DDE" w:rsidP="00DE2DDE"/>
    <w:p w:rsidR="00DE2DDE" w:rsidRDefault="00DE2DDE" w:rsidP="00DE2DDE"/>
    <w:p w:rsidR="00990659" w:rsidRPr="00DE2DDE" w:rsidRDefault="00990659" w:rsidP="00DE2DDE"/>
    <w:sectPr w:rsidR="00990659" w:rsidRPr="00DE2DDE" w:rsidSect="0023064F">
      <w:footerReference w:type="default" r:id="rId7"/>
      <w:footerReference w:type="first" r:id="rId8"/>
      <w:endnotePr>
        <w:numFmt w:val="decimal"/>
      </w:endnotePr>
      <w:pgSz w:w="11918"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5E9" w:rsidRDefault="000645E9">
      <w:r>
        <w:separator/>
      </w:r>
    </w:p>
  </w:endnote>
  <w:endnote w:type="continuationSeparator" w:id="0">
    <w:p w:rsidR="000645E9" w:rsidRDefault="0006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659" w:rsidRDefault="00990659">
    <w:pPr>
      <w:pStyle w:val="Zpat"/>
      <w:tabs>
        <w:tab w:val="clear" w:pos="8930"/>
        <w:tab w:val="right" w:pos="8931"/>
      </w:tabs>
      <w:rPr>
        <w:rFonts w:ascii="Times New Roman" w:hAnsi="Times New Roman"/>
        <w:lang w:val="el-GR"/>
      </w:rPr>
    </w:pPr>
  </w:p>
  <w:p w:rsidR="00990659" w:rsidRDefault="003941D5">
    <w:pPr>
      <w:pStyle w:val="Zpat"/>
      <w:tabs>
        <w:tab w:val="clear" w:pos="8930"/>
        <w:tab w:val="right" w:pos="8931"/>
      </w:tabs>
      <w:jc w:val="center"/>
      <w:rPr>
        <w:rFonts w:ascii="Times New Roman" w:hAnsi="Times New Roman"/>
        <w:lang w:val="el-GR"/>
      </w:rPr>
    </w:pPr>
    <w:r>
      <w:fldChar w:fldCharType="begin"/>
    </w:r>
    <w:r w:rsidR="0023064F">
      <w:instrText xml:space="preserve"> PAGE  \* MERGEFORMAT </w:instrText>
    </w:r>
    <w:r>
      <w:fldChar w:fldCharType="separate"/>
    </w:r>
    <w:r w:rsidR="00940964">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659" w:rsidRDefault="00990659">
    <w:pPr>
      <w:pStyle w:val="Zpat"/>
      <w:tabs>
        <w:tab w:val="clear" w:pos="8930"/>
        <w:tab w:val="right" w:pos="8931"/>
      </w:tabs>
    </w:pPr>
  </w:p>
  <w:p w:rsidR="00990659" w:rsidRDefault="003941D5">
    <w:pPr>
      <w:pStyle w:val="Zpat"/>
      <w:tabs>
        <w:tab w:val="clear" w:pos="8930"/>
        <w:tab w:val="right" w:pos="8931"/>
      </w:tabs>
      <w:jc w:val="center"/>
      <w:rPr>
        <w:rFonts w:ascii="Times New Roman" w:hAnsi="Times New Roman"/>
        <w:lang w:val="el-GR"/>
      </w:rPr>
    </w:pPr>
    <w:r>
      <w:fldChar w:fldCharType="begin"/>
    </w:r>
    <w:r w:rsidR="0023064F">
      <w:instrText xml:space="preserve"> PAGE  \* MERGEFORMAT </w:instrText>
    </w:r>
    <w:r>
      <w:fldChar w:fldCharType="separate"/>
    </w:r>
    <w:r w:rsidR="0094096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5E9" w:rsidRDefault="000645E9">
      <w:r>
        <w:separator/>
      </w:r>
    </w:p>
  </w:footnote>
  <w:footnote w:type="continuationSeparator" w:id="0">
    <w:p w:rsidR="000645E9" w:rsidRDefault="00064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081619D"/>
    <w:multiLevelType w:val="hybridMultilevel"/>
    <w:tmpl w:val="F97A82A8"/>
    <w:lvl w:ilvl="0" w:tplc="D5886774">
      <w:start w:val="1"/>
      <w:numFmt w:val="bullet"/>
      <w:lvlText w:val="-"/>
      <w:lvlJc w:val="left"/>
      <w:pPr>
        <w:ind w:left="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BFE72B6">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E2452DC">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640DAF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C7CD08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E905CBE">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82C42D2">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F387062">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C32F180">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7"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50C013F"/>
    <w:multiLevelType w:val="hybridMultilevel"/>
    <w:tmpl w:val="D870C0DC"/>
    <w:lvl w:ilvl="0" w:tplc="BDCA817C">
      <w:start w:val="1"/>
      <w:numFmt w:val="upperLetter"/>
      <w:lvlText w:val="%1."/>
      <w:lvlJc w:val="left"/>
      <w:pPr>
        <w:tabs>
          <w:tab w:val="num" w:pos="1407"/>
        </w:tabs>
        <w:ind w:left="1407" w:hanging="84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2"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6" w15:restartNumberingAfterBreak="0">
    <w:nsid w:val="5B591D47"/>
    <w:multiLevelType w:val="hybridMultilevel"/>
    <w:tmpl w:val="E8ACA836"/>
    <w:lvl w:ilvl="0" w:tplc="1F6CCC28">
      <w:start w:val="1"/>
      <w:numFmt w:val="bullet"/>
      <w:pStyle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0"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6"/>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5"/>
  </w:num>
  <w:num w:numId="5">
    <w:abstractNumId w:val="34"/>
  </w:num>
  <w:num w:numId="6">
    <w:abstractNumId w:val="12"/>
  </w:num>
  <w:num w:numId="7">
    <w:abstractNumId w:val="22"/>
  </w:num>
  <w:num w:numId="8">
    <w:abstractNumId w:val="21"/>
  </w:num>
  <w:num w:numId="9">
    <w:abstractNumId w:val="7"/>
  </w:num>
  <w:num w:numId="10">
    <w:abstractNumId w:val="32"/>
  </w:num>
  <w:num w:numId="11">
    <w:abstractNumId w:val="33"/>
  </w:num>
  <w:num w:numId="12">
    <w:abstractNumId w:val="17"/>
  </w:num>
  <w:num w:numId="13">
    <w:abstractNumId w:val="14"/>
  </w:num>
  <w:num w:numId="14">
    <w:abstractNumId w:val="2"/>
  </w:num>
  <w:num w:numId="15">
    <w:abstractNumId w:val="31"/>
  </w:num>
  <w:num w:numId="16">
    <w:abstractNumId w:val="19"/>
  </w:num>
  <w:num w:numId="17">
    <w:abstractNumId w:val="36"/>
  </w:num>
  <w:num w:numId="18">
    <w:abstractNumId w:val="8"/>
  </w:num>
  <w:num w:numId="19">
    <w:abstractNumId w:val="1"/>
  </w:num>
  <w:num w:numId="20">
    <w:abstractNumId w:val="18"/>
  </w:num>
  <w:num w:numId="21">
    <w:abstractNumId w:val="3"/>
  </w:num>
  <w:num w:numId="22">
    <w:abstractNumId w:val="6"/>
  </w:num>
  <w:num w:numId="23">
    <w:abstractNumId w:val="25"/>
  </w:num>
  <w:num w:numId="24">
    <w:abstractNumId w:val="11"/>
  </w:num>
  <w:num w:numId="25">
    <w:abstractNumId w:val="30"/>
  </w:num>
  <w:num w:numId="26">
    <w:abstractNumId w:val="24"/>
  </w:num>
  <w:num w:numId="27">
    <w:abstractNumId w:val="13"/>
  </w:num>
  <w:num w:numId="28">
    <w:abstractNumId w:val="10"/>
  </w:num>
  <w:num w:numId="29">
    <w:abstractNumId w:val="20"/>
  </w:num>
  <w:num w:numId="30">
    <w:abstractNumId w:val="23"/>
  </w:num>
  <w:num w:numId="31">
    <w:abstractNumId w:val="15"/>
  </w:num>
  <w:num w:numId="32">
    <w:abstractNumId w:val="9"/>
  </w:num>
  <w:num w:numId="33">
    <w:abstractNumId w:val="28"/>
  </w:num>
  <w:num w:numId="34">
    <w:abstractNumId w:val="29"/>
  </w:num>
  <w:num w:numId="35">
    <w:abstractNumId w:val="27"/>
  </w:num>
  <w:num w:numId="36">
    <w:abstractNumId w:val="16"/>
  </w:num>
  <w:num w:numId="37">
    <w:abstractNumId w:val="4"/>
  </w:num>
  <w:num w:numId="38">
    <w:abstractNumId w:val="37"/>
  </w:num>
  <w:num w:numId="39">
    <w:abstractNumId w:val="5"/>
  </w:num>
  <w:num w:numId="40">
    <w:abstractNumId w:val="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82534"/>
    <w:rsid w:val="000645E9"/>
    <w:rsid w:val="00161FA1"/>
    <w:rsid w:val="0023064F"/>
    <w:rsid w:val="002A0BAF"/>
    <w:rsid w:val="003941D5"/>
    <w:rsid w:val="004D183B"/>
    <w:rsid w:val="00591AAF"/>
    <w:rsid w:val="005E1B33"/>
    <w:rsid w:val="005F259B"/>
    <w:rsid w:val="00931EA9"/>
    <w:rsid w:val="00940964"/>
    <w:rsid w:val="00990659"/>
    <w:rsid w:val="00A82534"/>
    <w:rsid w:val="00A90943"/>
    <w:rsid w:val="00AB3C40"/>
    <w:rsid w:val="00B9184F"/>
    <w:rsid w:val="00C36E32"/>
    <w:rsid w:val="00C63E83"/>
    <w:rsid w:val="00C83FC3"/>
    <w:rsid w:val="00C97C73"/>
    <w:rsid w:val="00D00C42"/>
    <w:rsid w:val="00D33AFE"/>
    <w:rsid w:val="00D45102"/>
    <w:rsid w:val="00D776E5"/>
    <w:rsid w:val="00D97870"/>
    <w:rsid w:val="00DE2DDE"/>
    <w:rsid w:val="00DE4BA6"/>
    <w:rsid w:val="00E41E3F"/>
    <w:rsid w:val="00E71162"/>
    <w:rsid w:val="00F11E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3413D"/>
  <w15:docId w15:val="{1BA349BD-B866-4B8D-A1EE-523B0D1F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23064F"/>
    <w:pPr>
      <w:ind w:left="567" w:hanging="567"/>
    </w:pPr>
    <w:rPr>
      <w:sz w:val="22"/>
      <w:lang w:eastAsia="en-US"/>
    </w:rPr>
  </w:style>
  <w:style w:type="paragraph" w:styleId="Nadpis1">
    <w:name w:val="heading 1"/>
    <w:basedOn w:val="Normln"/>
    <w:next w:val="Normln"/>
    <w:qFormat/>
    <w:rsid w:val="0023064F"/>
    <w:pPr>
      <w:spacing w:before="240" w:after="120"/>
      <w:ind w:left="357" w:hanging="357"/>
      <w:outlineLvl w:val="0"/>
    </w:pPr>
    <w:rPr>
      <w:b/>
      <w:caps/>
      <w:sz w:val="26"/>
      <w:lang w:val="en-US"/>
    </w:rPr>
  </w:style>
  <w:style w:type="paragraph" w:styleId="Nadpis2">
    <w:name w:val="heading 2"/>
    <w:basedOn w:val="Normln"/>
    <w:next w:val="Normln"/>
    <w:qFormat/>
    <w:rsid w:val="0023064F"/>
    <w:pPr>
      <w:keepNext/>
      <w:spacing w:before="240" w:after="60"/>
      <w:outlineLvl w:val="1"/>
    </w:pPr>
    <w:rPr>
      <w:rFonts w:ascii="Helvetica" w:hAnsi="Helvetica"/>
      <w:b/>
      <w:i/>
      <w:sz w:val="24"/>
    </w:rPr>
  </w:style>
  <w:style w:type="paragraph" w:styleId="Nadpis3">
    <w:name w:val="heading 3"/>
    <w:basedOn w:val="Normln"/>
    <w:next w:val="Normln"/>
    <w:qFormat/>
    <w:rsid w:val="0023064F"/>
    <w:pPr>
      <w:keepNext/>
      <w:keepLines/>
      <w:spacing w:before="120" w:after="80"/>
      <w:outlineLvl w:val="2"/>
    </w:pPr>
    <w:rPr>
      <w:b/>
      <w:kern w:val="28"/>
      <w:sz w:val="24"/>
      <w:lang w:val="en-US"/>
    </w:rPr>
  </w:style>
  <w:style w:type="paragraph" w:styleId="Nadpis4">
    <w:name w:val="heading 4"/>
    <w:basedOn w:val="Normln"/>
    <w:next w:val="Normln"/>
    <w:qFormat/>
    <w:rsid w:val="0023064F"/>
    <w:pPr>
      <w:keepNext/>
      <w:outlineLvl w:val="3"/>
    </w:pPr>
    <w:rPr>
      <w:b/>
      <w:noProof/>
    </w:rPr>
  </w:style>
  <w:style w:type="paragraph" w:styleId="Nadpis5">
    <w:name w:val="heading 5"/>
    <w:basedOn w:val="Normln"/>
    <w:next w:val="Normln"/>
    <w:qFormat/>
    <w:rsid w:val="0023064F"/>
    <w:pPr>
      <w:keepNext/>
      <w:jc w:val="center"/>
      <w:outlineLvl w:val="4"/>
    </w:pPr>
    <w:rPr>
      <w:b/>
      <w:noProof/>
    </w:rPr>
  </w:style>
  <w:style w:type="paragraph" w:styleId="Nadpis6">
    <w:name w:val="heading 6"/>
    <w:basedOn w:val="Normln"/>
    <w:next w:val="Normln"/>
    <w:qFormat/>
    <w:rsid w:val="0023064F"/>
    <w:pPr>
      <w:keepNext/>
      <w:tabs>
        <w:tab w:val="left" w:pos="-720"/>
        <w:tab w:val="left" w:pos="4536"/>
      </w:tabs>
      <w:suppressAutoHyphens/>
      <w:outlineLvl w:val="5"/>
    </w:pPr>
    <w:rPr>
      <w:i/>
    </w:rPr>
  </w:style>
  <w:style w:type="paragraph" w:styleId="Nadpis7">
    <w:name w:val="heading 7"/>
    <w:basedOn w:val="Normln"/>
    <w:next w:val="Normln"/>
    <w:qFormat/>
    <w:rsid w:val="0023064F"/>
    <w:pPr>
      <w:keepNext/>
      <w:tabs>
        <w:tab w:val="left" w:pos="-720"/>
        <w:tab w:val="left" w:pos="4536"/>
      </w:tabs>
      <w:suppressAutoHyphens/>
      <w:jc w:val="both"/>
      <w:outlineLvl w:val="6"/>
    </w:pPr>
    <w:rPr>
      <w:i/>
    </w:rPr>
  </w:style>
  <w:style w:type="paragraph" w:styleId="Nadpis8">
    <w:name w:val="heading 8"/>
    <w:basedOn w:val="Normln"/>
    <w:next w:val="Normln"/>
    <w:qFormat/>
    <w:rsid w:val="0023064F"/>
    <w:pPr>
      <w:keepNext/>
      <w:ind w:right="-318"/>
      <w:outlineLvl w:val="7"/>
    </w:pPr>
    <w:rPr>
      <w:b/>
    </w:rPr>
  </w:style>
  <w:style w:type="paragraph" w:styleId="Nadpis9">
    <w:name w:val="heading 9"/>
    <w:basedOn w:val="Normln"/>
    <w:next w:val="Normln"/>
    <w:qFormat/>
    <w:rsid w:val="0023064F"/>
    <w:pPr>
      <w:keepNext/>
      <w:ind w:left="2268" w:right="1711"/>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3064F"/>
    <w:pPr>
      <w:tabs>
        <w:tab w:val="center" w:pos="4153"/>
        <w:tab w:val="right" w:pos="8306"/>
      </w:tabs>
    </w:pPr>
    <w:rPr>
      <w:rFonts w:ascii="Helvetica" w:hAnsi="Helvetica"/>
      <w:sz w:val="20"/>
    </w:rPr>
  </w:style>
  <w:style w:type="paragraph" w:styleId="Zpat">
    <w:name w:val="footer"/>
    <w:basedOn w:val="Normln"/>
    <w:rsid w:val="0023064F"/>
    <w:pPr>
      <w:tabs>
        <w:tab w:val="center" w:pos="4536"/>
        <w:tab w:val="center" w:pos="8930"/>
      </w:tabs>
    </w:pPr>
    <w:rPr>
      <w:rFonts w:ascii="Helvetica" w:hAnsi="Helvetica"/>
      <w:sz w:val="16"/>
    </w:rPr>
  </w:style>
  <w:style w:type="paragraph" w:styleId="Obsah9">
    <w:name w:val="toc 9"/>
    <w:basedOn w:val="Normln"/>
    <w:next w:val="Normln"/>
    <w:rsid w:val="0023064F"/>
    <w:pPr>
      <w:ind w:left="1760"/>
    </w:pPr>
  </w:style>
  <w:style w:type="character" w:styleId="Odkaznavysvtlivky">
    <w:name w:val="endnote reference"/>
    <w:rsid w:val="0023064F"/>
    <w:rPr>
      <w:vertAlign w:val="superscript"/>
    </w:rPr>
  </w:style>
  <w:style w:type="character" w:styleId="Znakapoznpodarou">
    <w:name w:val="footnote reference"/>
    <w:rsid w:val="0023064F"/>
    <w:rPr>
      <w:vertAlign w:val="superscript"/>
    </w:rPr>
  </w:style>
  <w:style w:type="paragraph" w:styleId="Textpoznpodarou">
    <w:name w:val="footnote text"/>
    <w:basedOn w:val="Normln"/>
    <w:rsid w:val="0023064F"/>
    <w:pPr>
      <w:jc w:val="both"/>
    </w:pPr>
    <w:rPr>
      <w:sz w:val="20"/>
    </w:rPr>
  </w:style>
  <w:style w:type="paragraph" w:styleId="Zkladntext">
    <w:name w:val="Body Text"/>
    <w:basedOn w:val="Normln"/>
    <w:rsid w:val="0023064F"/>
    <w:pPr>
      <w:jc w:val="both"/>
    </w:pPr>
  </w:style>
  <w:style w:type="paragraph" w:styleId="Textvbloku">
    <w:name w:val="Block Text"/>
    <w:basedOn w:val="Normln"/>
    <w:rsid w:val="0023064F"/>
    <w:pPr>
      <w:ind w:left="2268" w:right="1711"/>
    </w:pPr>
    <w:rPr>
      <w:b/>
    </w:rPr>
  </w:style>
  <w:style w:type="paragraph" w:styleId="Zkladntext2">
    <w:name w:val="Body Text 2"/>
    <w:basedOn w:val="Normln"/>
    <w:rsid w:val="0023064F"/>
    <w:rPr>
      <w:b/>
    </w:rPr>
  </w:style>
  <w:style w:type="paragraph" w:styleId="Zkladntext3">
    <w:name w:val="Body Text 3"/>
    <w:basedOn w:val="Normln"/>
    <w:rsid w:val="0023064F"/>
    <w:pPr>
      <w:ind w:right="113"/>
      <w:jc w:val="both"/>
    </w:pPr>
    <w:rPr>
      <w:b/>
    </w:rPr>
  </w:style>
  <w:style w:type="paragraph" w:styleId="Textvysvtlivek">
    <w:name w:val="endnote text"/>
    <w:basedOn w:val="Normln"/>
    <w:rsid w:val="0023064F"/>
  </w:style>
  <w:style w:type="character" w:styleId="Odkaznakoment">
    <w:name w:val="annotation reference"/>
    <w:rsid w:val="0023064F"/>
    <w:rPr>
      <w:sz w:val="16"/>
    </w:rPr>
  </w:style>
  <w:style w:type="paragraph" w:styleId="Zkladntextodsazen2">
    <w:name w:val="Body Text Indent 2"/>
    <w:basedOn w:val="Normln"/>
    <w:rsid w:val="0023064F"/>
    <w:pPr>
      <w:jc w:val="both"/>
    </w:pPr>
    <w:rPr>
      <w:b/>
    </w:rPr>
  </w:style>
  <w:style w:type="paragraph" w:styleId="Textkomente">
    <w:name w:val="annotation text"/>
    <w:basedOn w:val="Normln"/>
    <w:rsid w:val="0023064F"/>
    <w:rPr>
      <w:sz w:val="20"/>
    </w:rPr>
  </w:style>
  <w:style w:type="paragraph" w:styleId="Zkladntextodsazen3">
    <w:name w:val="Body Text Indent 3"/>
    <w:basedOn w:val="Normln"/>
    <w:rsid w:val="0023064F"/>
  </w:style>
  <w:style w:type="paragraph" w:customStyle="1" w:styleId="Bullet">
    <w:name w:val="Bullet"/>
    <w:basedOn w:val="Normln"/>
    <w:rsid w:val="0023064F"/>
    <w:pPr>
      <w:numPr>
        <w:numId w:val="2"/>
      </w:numPr>
    </w:pPr>
  </w:style>
  <w:style w:type="paragraph" w:styleId="Textbubliny">
    <w:name w:val="Balloon Text"/>
    <w:basedOn w:val="Normln"/>
    <w:rsid w:val="0023064F"/>
    <w:rPr>
      <w:rFonts w:ascii="Tahoma" w:hAnsi="Tahoma" w:cs="Tahoma"/>
      <w:sz w:val="16"/>
      <w:szCs w:val="16"/>
    </w:rPr>
  </w:style>
  <w:style w:type="character" w:styleId="Hypertextovodkaz">
    <w:name w:val="Hyperlink"/>
    <w:rsid w:val="0023064F"/>
    <w:rPr>
      <w:color w:val="0000FF"/>
      <w:u w:val="single"/>
    </w:rPr>
  </w:style>
  <w:style w:type="paragraph" w:customStyle="1" w:styleId="AHeader1">
    <w:name w:val="AHeader 1"/>
    <w:basedOn w:val="Normln"/>
    <w:rsid w:val="0023064F"/>
    <w:pPr>
      <w:numPr>
        <w:numId w:val="32"/>
      </w:numPr>
      <w:spacing w:after="120"/>
    </w:pPr>
    <w:rPr>
      <w:rFonts w:ascii="Arial" w:hAnsi="Arial" w:cs="Arial"/>
      <w:b/>
      <w:bCs/>
      <w:sz w:val="24"/>
      <w:lang w:val="en-GB"/>
    </w:rPr>
  </w:style>
  <w:style w:type="paragraph" w:customStyle="1" w:styleId="AHeader2">
    <w:name w:val="AHeader 2"/>
    <w:basedOn w:val="AHeader1"/>
    <w:rsid w:val="0023064F"/>
    <w:pPr>
      <w:numPr>
        <w:ilvl w:val="1"/>
      </w:numPr>
      <w:tabs>
        <w:tab w:val="clear" w:pos="709"/>
        <w:tab w:val="num" w:pos="360"/>
        <w:tab w:val="num" w:pos="1440"/>
      </w:tabs>
      <w:ind w:left="1440" w:hanging="360"/>
    </w:pPr>
    <w:rPr>
      <w:sz w:val="22"/>
    </w:rPr>
  </w:style>
  <w:style w:type="paragraph" w:customStyle="1" w:styleId="AHeader3">
    <w:name w:val="AHeader 3"/>
    <w:basedOn w:val="AHeader2"/>
    <w:rsid w:val="0023064F"/>
    <w:pPr>
      <w:numPr>
        <w:ilvl w:val="2"/>
      </w:numPr>
      <w:tabs>
        <w:tab w:val="clear" w:pos="1276"/>
        <w:tab w:val="num" w:pos="360"/>
        <w:tab w:val="num" w:pos="2160"/>
      </w:tabs>
      <w:ind w:left="2160" w:hanging="360"/>
    </w:pPr>
  </w:style>
  <w:style w:type="paragraph" w:customStyle="1" w:styleId="AHeader2abc">
    <w:name w:val="AHeader 2 abc"/>
    <w:basedOn w:val="AHeader3"/>
    <w:rsid w:val="0023064F"/>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23064F"/>
    <w:pPr>
      <w:numPr>
        <w:ilvl w:val="4"/>
      </w:numPr>
      <w:tabs>
        <w:tab w:val="clear" w:pos="1701"/>
        <w:tab w:val="num" w:pos="360"/>
        <w:tab w:val="num" w:pos="1440"/>
        <w:tab w:val="num" w:pos="3600"/>
      </w:tabs>
      <w:ind w:left="3600" w:hanging="360"/>
    </w:pPr>
  </w:style>
  <w:style w:type="character" w:styleId="Sledovanodkaz">
    <w:name w:val="FollowedHyperlink"/>
    <w:rsid w:val="0023064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48286">
      <w:bodyDiv w:val="1"/>
      <w:marLeft w:val="0"/>
      <w:marRight w:val="0"/>
      <w:marTop w:val="0"/>
      <w:marBottom w:val="0"/>
      <w:divBdr>
        <w:top w:val="none" w:sz="0" w:space="0" w:color="auto"/>
        <w:left w:val="none" w:sz="0" w:space="0" w:color="auto"/>
        <w:bottom w:val="none" w:sz="0" w:space="0" w:color="auto"/>
        <w:right w:val="none" w:sz="0" w:space="0" w:color="auto"/>
      </w:divBdr>
    </w:div>
    <w:div w:id="1996105528">
      <w:bodyDiv w:val="1"/>
      <w:marLeft w:val="0"/>
      <w:marRight w:val="0"/>
      <w:marTop w:val="0"/>
      <w:marBottom w:val="0"/>
      <w:divBdr>
        <w:top w:val="none" w:sz="0" w:space="0" w:color="auto"/>
        <w:left w:val="none" w:sz="0" w:space="0" w:color="auto"/>
        <w:bottom w:val="none" w:sz="0" w:space="0" w:color="auto"/>
        <w:right w:val="none" w:sz="0" w:space="0" w:color="auto"/>
      </w:divBdr>
    </w:div>
    <w:div w:id="20406605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2290</Words>
  <Characters>13516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[Version 7</vt:lpstr>
    </vt:vector>
  </TitlesOfParts>
  <Company>Translation Centre</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7</dc:title>
  <dc:subject>General-EMEA/182460/2007</dc:subject>
  <dc:creator>Zemek Jiří</dc:creator>
  <cp:keywords/>
  <dc:description/>
  <cp:lastModifiedBy>Šťastná Hana</cp:lastModifiedBy>
  <cp:revision>6</cp:revision>
  <cp:lastPrinted>2022-09-15T10:12:00Z</cp:lastPrinted>
  <dcterms:created xsi:type="dcterms:W3CDTF">2022-08-24T14:33:00Z</dcterms:created>
  <dcterms:modified xsi:type="dcterms:W3CDTF">2022-09-15T10:12:00Z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General-EMEA/182460/2007</vt:lpwstr>
  </property>
  <property fmtid="{D5CDD505-2E9C-101B-9397-08002B2CF9AE}" pid="6" name="DM_Title">
    <vt:lpwstr/>
  </property>
  <property fmtid="{D5CDD505-2E9C-101B-9397-08002B2CF9AE}" pid="7" name="DM_Language">
    <vt:lpwstr/>
  </property>
  <property fmtid="{D5CDD505-2E9C-101B-9397-08002B2CF9AE}" pid="8" name="DM_Name">
    <vt:lpwstr>V01a CS SPC-II-lab-pl v 7.1</vt:lpwstr>
  </property>
  <property fmtid="{D5CDD505-2E9C-101B-9397-08002B2CF9AE}" pid="9" name="DM_Owner">
    <vt:lpwstr>Holemarova Zuzana</vt:lpwstr>
  </property>
  <property fmtid="{D5CDD505-2E9C-101B-9397-08002B2CF9AE}" pid="10" name="DM_Creation_Date">
    <vt:lpwstr>23/04/2007 10:24:26</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23/04/2007 10:24:26</vt:lpwstr>
  </property>
  <property fmtid="{D5CDD505-2E9C-101B-9397-08002B2CF9AE}" pid="14" name="DM_Type">
    <vt:lpwstr>emea_document</vt:lpwstr>
  </property>
  <property fmtid="{D5CDD505-2E9C-101B-9397-08002B2CF9AE}" pid="15" name="DM_Version">
    <vt:lpwstr>0.2, CURRENT, published April  07</vt:lpwstr>
  </property>
  <property fmtid="{D5CDD505-2E9C-101B-9397-08002B2CF9AE}" pid="16" name="DM_emea_doc_ref_id">
    <vt:lpwstr>EMEA/182460/2007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182460</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ies>
</file>