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22" w:rsidRPr="00BE5A94" w:rsidRDefault="00836E22" w:rsidP="00836E22">
      <w:pPr>
        <w:rPr>
          <w:szCs w:val="22"/>
        </w:rPr>
      </w:pPr>
      <w:bookmarkStart w:id="0" w:name="_GoBack"/>
      <w:bookmarkEnd w:id="0"/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jc w:val="center"/>
        <w:rPr>
          <w:b/>
          <w:szCs w:val="22"/>
        </w:rPr>
      </w:pPr>
      <w:r w:rsidRPr="00BE5A94">
        <w:rPr>
          <w:b/>
          <w:szCs w:val="22"/>
        </w:rPr>
        <w:t>PŘÍLOHA I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jc w:val="center"/>
        <w:rPr>
          <w:b/>
          <w:szCs w:val="22"/>
        </w:rPr>
      </w:pPr>
      <w:r w:rsidRPr="00BE5A94">
        <w:rPr>
          <w:b/>
          <w:szCs w:val="22"/>
        </w:rPr>
        <w:t>SOUHRN ÚDAJŮ O PŘÍPRAVKU</w:t>
      </w: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br w:type="page"/>
      </w:r>
      <w:r w:rsidRPr="00BE5A94">
        <w:rPr>
          <w:b/>
          <w:szCs w:val="22"/>
        </w:rPr>
        <w:lastRenderedPageBreak/>
        <w:t>1.</w:t>
      </w:r>
      <w:r w:rsidRPr="00BE5A94">
        <w:rPr>
          <w:b/>
          <w:szCs w:val="22"/>
        </w:rPr>
        <w:tab/>
        <w:t>NÁZEV VETERINÁRNÍHO LÉČIVÉHO PŘÍPRAVKU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  <w:proofErr w:type="spellStart"/>
      <w:r w:rsidRPr="00BE5A94">
        <w:rPr>
          <w:szCs w:val="22"/>
        </w:rPr>
        <w:t>Thiamacare</w:t>
      </w:r>
      <w:proofErr w:type="spellEnd"/>
      <w:r w:rsidRPr="00BE5A94">
        <w:rPr>
          <w:szCs w:val="22"/>
        </w:rPr>
        <w:t xml:space="preserve"> 10 mg/ml perorální roztok pro kočky 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2.</w:t>
      </w:r>
      <w:r w:rsidRPr="00BE5A94">
        <w:rPr>
          <w:b/>
          <w:szCs w:val="22"/>
        </w:rPr>
        <w:tab/>
        <w:t>KVALITATIVNÍ A KVANTITATIVNÍ SLOŽENÍ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 xml:space="preserve">Každý </w:t>
      </w:r>
      <w:r>
        <w:rPr>
          <w:szCs w:val="22"/>
        </w:rPr>
        <w:t xml:space="preserve">1 </w:t>
      </w:r>
      <w:r w:rsidRPr="00BE5A94">
        <w:rPr>
          <w:szCs w:val="22"/>
        </w:rPr>
        <w:t xml:space="preserve">ml obsahuje: 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Léčivá látka:</w:t>
      </w:r>
    </w:p>
    <w:p w:rsidR="00836E22" w:rsidRPr="00BE5A94" w:rsidRDefault="00836E22" w:rsidP="00836E22">
      <w:pPr>
        <w:rPr>
          <w:szCs w:val="22"/>
        </w:rPr>
      </w:pPr>
      <w:proofErr w:type="spellStart"/>
      <w:r w:rsidRPr="00BE5A94">
        <w:rPr>
          <w:szCs w:val="22"/>
        </w:rPr>
        <w:t>Thiamazol</w:t>
      </w:r>
      <w:r>
        <w:rPr>
          <w:szCs w:val="22"/>
        </w:rPr>
        <w:t>um</w:t>
      </w:r>
      <w:proofErr w:type="spellEnd"/>
      <w:r w:rsidRPr="00BE5A94">
        <w:rPr>
          <w:szCs w:val="22"/>
        </w:rPr>
        <w:tab/>
      </w:r>
      <w:r w:rsidRPr="00BE5A94">
        <w:rPr>
          <w:szCs w:val="22"/>
        </w:rPr>
        <w:tab/>
        <w:t>10 mg</w:t>
      </w: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Pomocné látky:</w:t>
      </w: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>Úplný seznam pomocných látek viz bod 6.1.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3.</w:t>
      </w:r>
      <w:r w:rsidRPr="00BE5A94">
        <w:rPr>
          <w:b/>
          <w:szCs w:val="22"/>
        </w:rPr>
        <w:tab/>
        <w:t>LÉKOVÁ FORMA</w:t>
      </w:r>
    </w:p>
    <w:p w:rsidR="00836E22" w:rsidRPr="00BE5A94" w:rsidRDefault="00836E22" w:rsidP="00836E22">
      <w:pPr>
        <w:rPr>
          <w:b/>
          <w:szCs w:val="22"/>
        </w:rPr>
      </w:pP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>Perorální roztok</w:t>
      </w: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>Čirá, bezbarvá až světle žlutá homogenní kapalina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4.</w:t>
      </w:r>
      <w:r w:rsidRPr="00BE5A94">
        <w:rPr>
          <w:b/>
          <w:szCs w:val="22"/>
        </w:rPr>
        <w:tab/>
        <w:t>KLINICKÉ ÚDAJE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4.1</w:t>
      </w:r>
      <w:r w:rsidRPr="00BE5A94">
        <w:rPr>
          <w:b/>
          <w:szCs w:val="22"/>
        </w:rPr>
        <w:tab/>
        <w:t>Cílové druhy zvířat</w:t>
      </w:r>
    </w:p>
    <w:p w:rsidR="00836E22" w:rsidRPr="00BE5A94" w:rsidRDefault="00836E22" w:rsidP="00836E22">
      <w:pPr>
        <w:rPr>
          <w:b/>
          <w:szCs w:val="22"/>
        </w:rPr>
      </w:pP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>Kočky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4.2</w:t>
      </w:r>
      <w:r w:rsidRPr="00BE5A94">
        <w:rPr>
          <w:b/>
          <w:szCs w:val="22"/>
        </w:rPr>
        <w:tab/>
        <w:t>Indikace s upřesněním pro cílový druh zvířat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  <w:r>
        <w:rPr>
          <w:szCs w:val="22"/>
        </w:rPr>
        <w:t>S</w:t>
      </w:r>
      <w:r w:rsidRPr="00BE5A94">
        <w:rPr>
          <w:szCs w:val="22"/>
        </w:rPr>
        <w:t>tabilizac</w:t>
      </w:r>
      <w:r>
        <w:rPr>
          <w:szCs w:val="22"/>
        </w:rPr>
        <w:t>e</w:t>
      </w:r>
      <w:r w:rsidRPr="00BE5A94">
        <w:rPr>
          <w:szCs w:val="22"/>
        </w:rPr>
        <w:t xml:space="preserve"> hypertyreózy u koček před chirurgickou </w:t>
      </w:r>
      <w:proofErr w:type="spellStart"/>
      <w:r w:rsidRPr="00BE5A94">
        <w:rPr>
          <w:szCs w:val="22"/>
        </w:rPr>
        <w:t>tyreoidektomií</w:t>
      </w:r>
      <w:proofErr w:type="spellEnd"/>
      <w:r w:rsidRPr="00BE5A94">
        <w:rPr>
          <w:szCs w:val="22"/>
        </w:rPr>
        <w:t xml:space="preserve">. </w:t>
      </w:r>
    </w:p>
    <w:p w:rsidR="00836E22" w:rsidRPr="00BE5A94" w:rsidRDefault="00836E22" w:rsidP="00836E22">
      <w:pPr>
        <w:rPr>
          <w:szCs w:val="22"/>
        </w:rPr>
      </w:pPr>
      <w:r>
        <w:rPr>
          <w:szCs w:val="22"/>
        </w:rPr>
        <w:t>D</w:t>
      </w:r>
      <w:r w:rsidRPr="00BE5A94">
        <w:rPr>
          <w:szCs w:val="22"/>
        </w:rPr>
        <w:t>louhodob</w:t>
      </w:r>
      <w:r>
        <w:rPr>
          <w:szCs w:val="22"/>
        </w:rPr>
        <w:t xml:space="preserve">á </w:t>
      </w:r>
      <w:r w:rsidRPr="00BE5A94">
        <w:rPr>
          <w:szCs w:val="22"/>
        </w:rPr>
        <w:t>léčb</w:t>
      </w:r>
      <w:r>
        <w:rPr>
          <w:szCs w:val="22"/>
        </w:rPr>
        <w:t>a</w:t>
      </w:r>
      <w:r w:rsidRPr="00BE5A94">
        <w:rPr>
          <w:szCs w:val="22"/>
        </w:rPr>
        <w:t xml:space="preserve"> hypertyreózy</w:t>
      </w:r>
      <w:r>
        <w:rPr>
          <w:szCs w:val="22"/>
        </w:rPr>
        <w:t xml:space="preserve"> u koček</w:t>
      </w:r>
      <w:r w:rsidRPr="00BE5A94">
        <w:rPr>
          <w:szCs w:val="22"/>
        </w:rPr>
        <w:t>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4.3</w:t>
      </w:r>
      <w:r w:rsidRPr="00BE5A94">
        <w:rPr>
          <w:b/>
          <w:szCs w:val="22"/>
        </w:rPr>
        <w:tab/>
        <w:t>Kontraindikace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D05ADF">
      <w:pPr>
        <w:ind w:left="0" w:firstLine="0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Nepoužívat u koček </w:t>
      </w:r>
      <w:r>
        <w:rPr>
          <w:rFonts w:cs="Arial"/>
          <w:szCs w:val="24"/>
        </w:rPr>
        <w:t xml:space="preserve">se </w:t>
      </w:r>
      <w:r w:rsidRPr="00BE5A94">
        <w:rPr>
          <w:rFonts w:cs="Arial"/>
          <w:szCs w:val="24"/>
        </w:rPr>
        <w:t xml:space="preserve">systémovým onemocněním, jako je primární onemocnění jater nebo diabetes </w:t>
      </w:r>
      <w:proofErr w:type="spellStart"/>
      <w:r w:rsidRPr="00BE5A94">
        <w:rPr>
          <w:rFonts w:cs="Arial"/>
          <w:szCs w:val="24"/>
        </w:rPr>
        <w:t>mellitus</w:t>
      </w:r>
      <w:proofErr w:type="spellEnd"/>
      <w:r w:rsidRPr="00BE5A94">
        <w:rPr>
          <w:rFonts w:cs="Arial"/>
          <w:szCs w:val="24"/>
        </w:rPr>
        <w:t>.</w:t>
      </w:r>
    </w:p>
    <w:p w:rsidR="00836E22" w:rsidRPr="00BE5A94" w:rsidRDefault="00836E22" w:rsidP="00836E22">
      <w:pPr>
        <w:rPr>
          <w:rFonts w:cs="Arial"/>
          <w:szCs w:val="24"/>
        </w:rPr>
      </w:pPr>
      <w:r w:rsidRPr="00BE5A94">
        <w:rPr>
          <w:rFonts w:cs="Arial"/>
          <w:szCs w:val="24"/>
        </w:rPr>
        <w:t>Nepoužívat u koček s příznaky autoimunitního onemocnění.</w:t>
      </w:r>
    </w:p>
    <w:p w:rsidR="00836E22" w:rsidRPr="00BE5A94" w:rsidRDefault="00836E22" w:rsidP="00836E22">
      <w:pPr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Nepoužívat u zvířat s poruchami bílých krvinek, jako je </w:t>
      </w:r>
      <w:proofErr w:type="spellStart"/>
      <w:r w:rsidRPr="00BE5A94">
        <w:rPr>
          <w:rFonts w:cs="Arial"/>
          <w:szCs w:val="24"/>
        </w:rPr>
        <w:t>neutropenie</w:t>
      </w:r>
      <w:proofErr w:type="spellEnd"/>
      <w:r w:rsidRPr="00BE5A94">
        <w:rPr>
          <w:rFonts w:cs="Arial"/>
          <w:szCs w:val="24"/>
        </w:rPr>
        <w:t xml:space="preserve"> a lymfopenie.</w:t>
      </w:r>
    </w:p>
    <w:p w:rsidR="00836E22" w:rsidRPr="00BE5A94" w:rsidRDefault="00836E22" w:rsidP="00836E22">
      <w:pPr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Nepoužívat u zvířat s poruchami krevních destiček a </w:t>
      </w:r>
      <w:proofErr w:type="spellStart"/>
      <w:r w:rsidRPr="00BE5A94">
        <w:rPr>
          <w:rFonts w:cs="Arial"/>
          <w:szCs w:val="24"/>
        </w:rPr>
        <w:t>koagulopatiemi</w:t>
      </w:r>
      <w:proofErr w:type="spellEnd"/>
      <w:r w:rsidRPr="00BE5A94">
        <w:rPr>
          <w:rFonts w:cs="Arial"/>
          <w:szCs w:val="24"/>
        </w:rPr>
        <w:t xml:space="preserve"> (zejména s trombocytopenií).</w:t>
      </w:r>
    </w:p>
    <w:p w:rsidR="00836E22" w:rsidRPr="00BE5A94" w:rsidRDefault="00836E22" w:rsidP="00836E22">
      <w:pPr>
        <w:tabs>
          <w:tab w:val="left" w:pos="720"/>
        </w:tabs>
        <w:rPr>
          <w:rFonts w:cs="Arial"/>
          <w:szCs w:val="24"/>
        </w:rPr>
      </w:pPr>
      <w:r w:rsidRPr="00BE5A94">
        <w:rPr>
          <w:rFonts w:cs="Arial"/>
          <w:szCs w:val="24"/>
        </w:rPr>
        <w:t>Nepoužívat u koček s přecitlivělostí na </w:t>
      </w:r>
      <w:proofErr w:type="spellStart"/>
      <w:r w:rsidRPr="00BE5A94">
        <w:rPr>
          <w:rFonts w:cs="Arial"/>
          <w:szCs w:val="24"/>
        </w:rPr>
        <w:t>thiamazol</w:t>
      </w:r>
      <w:proofErr w:type="spellEnd"/>
      <w:r w:rsidRPr="00BE5A94">
        <w:rPr>
          <w:rFonts w:cs="Arial"/>
          <w:szCs w:val="24"/>
        </w:rPr>
        <w:t xml:space="preserve"> nebo na některou z pomocných látek.</w:t>
      </w:r>
    </w:p>
    <w:p w:rsidR="00836E22" w:rsidRPr="00BE5A94" w:rsidRDefault="00836E22" w:rsidP="00836E22">
      <w:pPr>
        <w:tabs>
          <w:tab w:val="left" w:pos="720"/>
        </w:tabs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Nepoužívat u březích a kojících </w:t>
      </w:r>
      <w:r>
        <w:rPr>
          <w:rFonts w:cs="Arial"/>
          <w:szCs w:val="24"/>
        </w:rPr>
        <w:t>koček</w:t>
      </w:r>
      <w:r w:rsidRPr="00BE5A94">
        <w:rPr>
          <w:rFonts w:cs="Arial"/>
          <w:szCs w:val="24"/>
        </w:rPr>
        <w:t xml:space="preserve"> (viz bod 4.7).</w:t>
      </w:r>
    </w:p>
    <w:p w:rsidR="00836E22" w:rsidRPr="00BE5A94" w:rsidRDefault="00836E22" w:rsidP="00836E22">
      <w:pPr>
        <w:tabs>
          <w:tab w:val="left" w:pos="720"/>
        </w:tabs>
        <w:rPr>
          <w:rFonts w:cs="Arial"/>
          <w:szCs w:val="24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4.4</w:t>
      </w:r>
      <w:r w:rsidRPr="00BE5A94">
        <w:rPr>
          <w:b/>
          <w:szCs w:val="22"/>
        </w:rPr>
        <w:tab/>
        <w:t>Zvláštní upozornění pro každý cílový druh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D05ADF">
      <w:pPr>
        <w:ind w:left="0" w:firstLine="0"/>
        <w:rPr>
          <w:rFonts w:cs="Arial"/>
          <w:szCs w:val="24"/>
        </w:rPr>
      </w:pPr>
      <w:r w:rsidRPr="00BE5A94">
        <w:rPr>
          <w:rFonts w:cs="Arial"/>
          <w:szCs w:val="24"/>
        </w:rPr>
        <w:t>Ke zvýšení stabilizace pacienta s hypertyreózou by se každý den měl používat stejný režim krmení a dávkování.</w:t>
      </w:r>
    </w:p>
    <w:p w:rsidR="00836E22" w:rsidRPr="00BE5A94" w:rsidDel="00E86CEE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4.5</w:t>
      </w:r>
      <w:r w:rsidRPr="00BE5A94">
        <w:rPr>
          <w:b/>
          <w:szCs w:val="22"/>
        </w:rPr>
        <w:tab/>
        <w:t>Zvláštní opatření pro použití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jc w:val="both"/>
        <w:rPr>
          <w:u w:val="single"/>
        </w:rPr>
      </w:pPr>
      <w:r w:rsidRPr="00BE5A94">
        <w:rPr>
          <w:u w:val="single"/>
        </w:rPr>
        <w:t>Zvláštní opatření pro použití u zvířat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jc w:val="both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Je-li </w:t>
      </w:r>
      <w:r>
        <w:rPr>
          <w:rFonts w:cs="Arial"/>
          <w:szCs w:val="24"/>
        </w:rPr>
        <w:t xml:space="preserve">nutné podávat dávku vyšší </w:t>
      </w:r>
      <w:r w:rsidRPr="00BE5A94">
        <w:rPr>
          <w:rFonts w:cs="Arial"/>
          <w:szCs w:val="24"/>
        </w:rPr>
        <w:t xml:space="preserve">než 10 mg denně, </w:t>
      </w:r>
      <w:r>
        <w:rPr>
          <w:rFonts w:cs="Arial"/>
          <w:szCs w:val="24"/>
        </w:rPr>
        <w:t xml:space="preserve">měl by být pečlivě sledován zdravotní stav </w:t>
      </w:r>
      <w:r w:rsidRPr="00BE5A94">
        <w:rPr>
          <w:rFonts w:cs="Arial"/>
          <w:szCs w:val="24"/>
        </w:rPr>
        <w:t>zvířat.</w:t>
      </w:r>
    </w:p>
    <w:p w:rsidR="00836E22" w:rsidRPr="00BE5A94" w:rsidRDefault="00836E22" w:rsidP="00D05ADF">
      <w:pPr>
        <w:ind w:left="0" w:firstLine="0"/>
        <w:jc w:val="both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Používání přípravku u koček s renální dysfunkcí by mělo podléhat pečlivému posouzení poměru </w:t>
      </w:r>
      <w:r>
        <w:rPr>
          <w:rFonts w:cs="Arial"/>
          <w:szCs w:val="24"/>
        </w:rPr>
        <w:t xml:space="preserve">terapeutického prospěchu a </w:t>
      </w:r>
      <w:r w:rsidRPr="00BE5A94">
        <w:rPr>
          <w:rFonts w:cs="Arial"/>
          <w:szCs w:val="24"/>
        </w:rPr>
        <w:t xml:space="preserve">rizika </w:t>
      </w:r>
      <w:r>
        <w:rPr>
          <w:rFonts w:cs="Arial"/>
          <w:szCs w:val="24"/>
        </w:rPr>
        <w:t xml:space="preserve">  příslušným veterinárním </w:t>
      </w:r>
      <w:r w:rsidRPr="00BE5A94">
        <w:rPr>
          <w:rFonts w:cs="Arial"/>
          <w:szCs w:val="24"/>
        </w:rPr>
        <w:t xml:space="preserve">lékařem. Vzhledem k účinku, který </w:t>
      </w:r>
      <w:proofErr w:type="spellStart"/>
      <w:r w:rsidRPr="00BE5A94">
        <w:rPr>
          <w:rFonts w:cs="Arial"/>
          <w:szCs w:val="24"/>
        </w:rPr>
        <w:t>thiamazol</w:t>
      </w:r>
      <w:proofErr w:type="spellEnd"/>
      <w:r w:rsidRPr="00BE5A94">
        <w:rPr>
          <w:rFonts w:cs="Arial"/>
          <w:szCs w:val="24"/>
        </w:rPr>
        <w:t xml:space="preserve"> může mít na snížení rychlosti glomerulární filtrace, je třeba pečlivě sledovat účinek léčby na funkci ledvin, protože může dojít ke zhoršení </w:t>
      </w:r>
      <w:r>
        <w:rPr>
          <w:rFonts w:cs="Arial"/>
          <w:szCs w:val="24"/>
        </w:rPr>
        <w:t xml:space="preserve">probíhajícího onemocnění ledvin. </w:t>
      </w:r>
    </w:p>
    <w:p w:rsidR="00836E22" w:rsidRPr="00BE5A94" w:rsidRDefault="00836E22" w:rsidP="00D05ADF">
      <w:pPr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Vzhledem k</w:t>
      </w:r>
      <w:r w:rsidRPr="00BE5A94">
        <w:rPr>
          <w:rFonts w:cs="Arial"/>
          <w:szCs w:val="24"/>
        </w:rPr>
        <w:t xml:space="preserve"> riziku leukopenie nebo hemolytické anémie musí být sledován</w:t>
      </w:r>
      <w:r>
        <w:rPr>
          <w:rFonts w:cs="Arial"/>
          <w:szCs w:val="24"/>
        </w:rPr>
        <w:t>y</w:t>
      </w:r>
      <w:r w:rsidRPr="00BE5A94">
        <w:rPr>
          <w:rFonts w:cs="Arial"/>
          <w:szCs w:val="24"/>
        </w:rPr>
        <w:t xml:space="preserve"> hematologi</w:t>
      </w:r>
      <w:r>
        <w:rPr>
          <w:rFonts w:cs="Arial"/>
          <w:szCs w:val="24"/>
        </w:rPr>
        <w:t>cké parametry</w:t>
      </w:r>
      <w:r w:rsidRPr="00BE5A94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BE5A94">
        <w:rPr>
          <w:rFonts w:cs="Arial"/>
          <w:szCs w:val="24"/>
        </w:rPr>
        <w:t xml:space="preserve">U každého zvířete, u kterého v průběhu léčby náhle </w:t>
      </w:r>
      <w:r>
        <w:rPr>
          <w:rFonts w:cs="Arial"/>
          <w:szCs w:val="24"/>
        </w:rPr>
        <w:t>dojde ke</w:t>
      </w:r>
      <w:r w:rsidRPr="00BE5A9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zhoršení zdravotního stavu</w:t>
      </w:r>
      <w:r w:rsidRPr="00BE5A94">
        <w:rPr>
          <w:rFonts w:cs="Arial"/>
          <w:szCs w:val="24"/>
        </w:rPr>
        <w:t xml:space="preserve">, obzvláště </w:t>
      </w:r>
      <w:r>
        <w:rPr>
          <w:rFonts w:cs="Arial"/>
          <w:szCs w:val="24"/>
        </w:rPr>
        <w:t>v případě výskytu horečky</w:t>
      </w:r>
      <w:r w:rsidRPr="00BE5A94">
        <w:rPr>
          <w:rFonts w:cs="Arial"/>
          <w:szCs w:val="24"/>
        </w:rPr>
        <w:t xml:space="preserve">, by měl být odebrán vzorek krve </w:t>
      </w:r>
      <w:r>
        <w:rPr>
          <w:rFonts w:cs="Arial"/>
          <w:szCs w:val="24"/>
        </w:rPr>
        <w:t>na</w:t>
      </w:r>
      <w:r w:rsidRPr="00BE5A94">
        <w:rPr>
          <w:rFonts w:cs="Arial"/>
          <w:szCs w:val="24"/>
        </w:rPr>
        <w:t> rutinní hematologi</w:t>
      </w:r>
      <w:r>
        <w:rPr>
          <w:rFonts w:cs="Arial"/>
          <w:szCs w:val="24"/>
        </w:rPr>
        <w:t xml:space="preserve">cké </w:t>
      </w:r>
      <w:r w:rsidRPr="00BE5A94">
        <w:rPr>
          <w:rFonts w:cs="Arial"/>
          <w:szCs w:val="24"/>
        </w:rPr>
        <w:t>a biochemi</w:t>
      </w:r>
      <w:r>
        <w:rPr>
          <w:rFonts w:cs="Arial"/>
          <w:szCs w:val="24"/>
        </w:rPr>
        <w:t>cké vyšetření</w:t>
      </w:r>
      <w:r w:rsidRPr="00BE5A94">
        <w:rPr>
          <w:rFonts w:cs="Arial"/>
          <w:szCs w:val="24"/>
        </w:rPr>
        <w:t xml:space="preserve">. </w:t>
      </w:r>
      <w:proofErr w:type="spellStart"/>
      <w:r w:rsidRPr="00BE5A94">
        <w:rPr>
          <w:rFonts w:cs="Arial"/>
          <w:szCs w:val="24"/>
        </w:rPr>
        <w:t>Neutropenická</w:t>
      </w:r>
      <w:proofErr w:type="spellEnd"/>
      <w:r w:rsidRPr="00BE5A94">
        <w:rPr>
          <w:rFonts w:cs="Arial"/>
          <w:szCs w:val="24"/>
        </w:rPr>
        <w:t xml:space="preserve"> zvířata (počet </w:t>
      </w:r>
      <w:proofErr w:type="spellStart"/>
      <w:r w:rsidRPr="00BE5A94">
        <w:rPr>
          <w:rFonts w:cs="Arial"/>
          <w:szCs w:val="24"/>
        </w:rPr>
        <w:t>neutrofilů</w:t>
      </w:r>
      <w:proofErr w:type="spellEnd"/>
      <w:r w:rsidRPr="00BE5A94">
        <w:rPr>
          <w:rFonts w:cs="Arial"/>
          <w:szCs w:val="24"/>
        </w:rPr>
        <w:t xml:space="preserve"> &lt;2,5 x 10</w:t>
      </w:r>
      <w:r w:rsidRPr="00BE5A94">
        <w:rPr>
          <w:rFonts w:cs="Arial"/>
          <w:szCs w:val="24"/>
          <w:vertAlign w:val="superscript"/>
        </w:rPr>
        <w:t>9</w:t>
      </w:r>
      <w:r w:rsidRPr="00BE5A94">
        <w:rPr>
          <w:rFonts w:cs="Arial"/>
          <w:szCs w:val="24"/>
        </w:rPr>
        <w:t>/l) je třeba léčit profylaktick</w:t>
      </w:r>
      <w:r>
        <w:rPr>
          <w:rFonts w:cs="Arial"/>
          <w:szCs w:val="24"/>
        </w:rPr>
        <w:t>y</w:t>
      </w:r>
      <w:r w:rsidRPr="00BE5A94">
        <w:rPr>
          <w:rFonts w:cs="Arial"/>
          <w:szCs w:val="24"/>
        </w:rPr>
        <w:t xml:space="preserve"> baktericidními anti</w:t>
      </w:r>
      <w:r>
        <w:rPr>
          <w:rFonts w:cs="Arial"/>
          <w:szCs w:val="24"/>
        </w:rPr>
        <w:t>biotickými</w:t>
      </w:r>
      <w:r w:rsidRPr="00BE5A94">
        <w:rPr>
          <w:rFonts w:cs="Arial"/>
          <w:szCs w:val="24"/>
        </w:rPr>
        <w:t xml:space="preserve"> lé</w:t>
      </w:r>
      <w:r>
        <w:rPr>
          <w:rFonts w:cs="Arial"/>
          <w:szCs w:val="24"/>
        </w:rPr>
        <w:t>čivy</w:t>
      </w:r>
      <w:r w:rsidRPr="00BE5A94">
        <w:rPr>
          <w:rFonts w:cs="Arial"/>
          <w:szCs w:val="24"/>
        </w:rPr>
        <w:t xml:space="preserve"> a </w:t>
      </w:r>
      <w:r>
        <w:rPr>
          <w:rFonts w:cs="Arial"/>
          <w:szCs w:val="24"/>
        </w:rPr>
        <w:t xml:space="preserve">podat </w:t>
      </w:r>
      <w:r w:rsidRPr="00BE5A94">
        <w:rPr>
          <w:rFonts w:cs="Arial"/>
          <w:szCs w:val="24"/>
        </w:rPr>
        <w:t>podpůrnou terapi</w:t>
      </w:r>
      <w:r>
        <w:rPr>
          <w:rFonts w:cs="Arial"/>
          <w:szCs w:val="24"/>
        </w:rPr>
        <w:t>i</w:t>
      </w:r>
      <w:r w:rsidRPr="00BE5A94">
        <w:rPr>
          <w:rFonts w:cs="Arial"/>
          <w:szCs w:val="24"/>
        </w:rPr>
        <w:t>.</w:t>
      </w:r>
    </w:p>
    <w:p w:rsidR="00836E22" w:rsidRPr="00BE5A94" w:rsidRDefault="00836E22" w:rsidP="00836E22">
      <w:pPr>
        <w:tabs>
          <w:tab w:val="left" w:pos="720"/>
        </w:tabs>
        <w:jc w:val="both"/>
        <w:rPr>
          <w:rFonts w:cs="Arial"/>
          <w:szCs w:val="24"/>
        </w:rPr>
      </w:pPr>
      <w:r w:rsidRPr="00BE5A94">
        <w:rPr>
          <w:rFonts w:cs="Arial"/>
          <w:szCs w:val="24"/>
        </w:rPr>
        <w:t>Pokyny ke sledování viz bod 4.9.</w:t>
      </w: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 xml:space="preserve">Jelikož </w:t>
      </w:r>
      <w:proofErr w:type="spellStart"/>
      <w:r w:rsidRPr="00BE5A94">
        <w:rPr>
          <w:szCs w:val="22"/>
        </w:rPr>
        <w:t>thiamazol</w:t>
      </w:r>
      <w:proofErr w:type="spellEnd"/>
      <w:r w:rsidRPr="00BE5A94">
        <w:rPr>
          <w:szCs w:val="22"/>
        </w:rPr>
        <w:t xml:space="preserve"> může způsobit </w:t>
      </w:r>
      <w:proofErr w:type="spellStart"/>
      <w:r w:rsidRPr="00BE5A94">
        <w:rPr>
          <w:szCs w:val="22"/>
        </w:rPr>
        <w:t>hemokoncentraci</w:t>
      </w:r>
      <w:proofErr w:type="spellEnd"/>
      <w:r w:rsidRPr="00BE5A94">
        <w:rPr>
          <w:szCs w:val="22"/>
        </w:rPr>
        <w:t>, kočky by měly mít vždy přístup k pitné vodě.</w:t>
      </w:r>
    </w:p>
    <w:p w:rsidR="00836E22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keepNext/>
        <w:rPr>
          <w:u w:val="single"/>
        </w:rPr>
      </w:pPr>
      <w:r w:rsidRPr="00BE5A94">
        <w:rPr>
          <w:u w:val="single"/>
        </w:rPr>
        <w:t>Zvláštní opatření určené osobám, které podávají veterinární léčivý přípravek zvířatům</w:t>
      </w:r>
    </w:p>
    <w:p w:rsidR="00836E22" w:rsidRPr="00BE5A94" w:rsidRDefault="00836E22" w:rsidP="00836E22">
      <w:pPr>
        <w:rPr>
          <w:szCs w:val="22"/>
          <w:u w:val="single"/>
        </w:rPr>
      </w:pPr>
    </w:p>
    <w:p w:rsidR="00836E22" w:rsidRPr="00BE5A94" w:rsidRDefault="00836E22" w:rsidP="00D05ADF">
      <w:pPr>
        <w:ind w:left="0" w:firstLine="0"/>
      </w:pPr>
      <w:r w:rsidRPr="00BE5A94">
        <w:t>Lidé se známou přecitlivělostí na </w:t>
      </w:r>
      <w:proofErr w:type="spellStart"/>
      <w:r w:rsidRPr="00BE5A94">
        <w:t>thiamazol</w:t>
      </w:r>
      <w:proofErr w:type="spellEnd"/>
      <w:r w:rsidRPr="00BE5A94">
        <w:t xml:space="preserve"> nebo na některou z pomocných látek by se měli vyhnout kontaktu s veterinárním léčivým přípravkem. V případě alergické reakce, jako je kožní vyrážka, otok obličeje, rtů nebo očí nebo potíže s dýcháním, vyhledejte ihned lékařskou pomoc a ukažte příbalovou informaci nebo etiketu praktickému lékaři.</w:t>
      </w:r>
    </w:p>
    <w:p w:rsidR="00836E22" w:rsidRPr="00BE5A94" w:rsidRDefault="00836E22" w:rsidP="004320D0">
      <w:pPr>
        <w:ind w:left="0" w:firstLine="0"/>
      </w:pPr>
      <w:proofErr w:type="spellStart"/>
      <w:r w:rsidRPr="00BE5A94">
        <w:t>Thiamazol</w:t>
      </w:r>
      <w:proofErr w:type="spellEnd"/>
      <w:r w:rsidRPr="00BE5A94">
        <w:t xml:space="preserve"> může způsobit gastrointestinální poruchy, bolesti hlavy, horečku, bolest kloubů, svědění a </w:t>
      </w:r>
      <w:proofErr w:type="spellStart"/>
      <w:r w:rsidRPr="00BE5A94">
        <w:t>pancytopenii</w:t>
      </w:r>
      <w:proofErr w:type="spellEnd"/>
      <w:r w:rsidRPr="00BE5A94">
        <w:t xml:space="preserve"> (snížení počtu krvinek a destiček).</w:t>
      </w:r>
    </w:p>
    <w:p w:rsidR="00836E22" w:rsidRPr="00BE5A94" w:rsidRDefault="00836E22" w:rsidP="00836E22">
      <w:pPr>
        <w:tabs>
          <w:tab w:val="left" w:pos="540"/>
        </w:tabs>
      </w:pPr>
      <w:r>
        <w:t>Tento</w:t>
      </w:r>
      <w:r w:rsidRPr="00BE5A94">
        <w:t xml:space="preserve"> přípravek může </w:t>
      </w:r>
      <w:r>
        <w:t xml:space="preserve">také </w:t>
      </w:r>
      <w:r w:rsidRPr="00BE5A94">
        <w:t>způsobit podráždění kůže.</w:t>
      </w:r>
    </w:p>
    <w:p w:rsidR="00836E22" w:rsidRPr="00BE5A94" w:rsidRDefault="00836E22" w:rsidP="00836E22">
      <w:pPr>
        <w:tabs>
          <w:tab w:val="left" w:pos="851"/>
        </w:tabs>
      </w:pPr>
      <w:r>
        <w:t>Zabraňte</w:t>
      </w:r>
      <w:r w:rsidRPr="00BE5A94">
        <w:t xml:space="preserve"> kontaktu s kůží nebo ústy, včetně kontaktu ruky s ústy.</w:t>
      </w:r>
    </w:p>
    <w:p w:rsidR="00836E22" w:rsidRPr="00BE5A94" w:rsidRDefault="00836E22" w:rsidP="00836E22">
      <w:pPr>
        <w:tabs>
          <w:tab w:val="left" w:pos="540"/>
        </w:tabs>
      </w:pPr>
      <w:r w:rsidRPr="00BE5A94">
        <w:t>Při manipulaci s p</w:t>
      </w:r>
      <w:r>
        <w:t>řípravkem</w:t>
      </w:r>
      <w:r w:rsidRPr="00BE5A94">
        <w:t xml:space="preserve"> nebo použitou podestýlkou nejezte, nepijte ani nekuřte.</w:t>
      </w:r>
    </w:p>
    <w:p w:rsidR="00836E22" w:rsidRPr="00BE5A94" w:rsidRDefault="00836E22" w:rsidP="004320D0">
      <w:pPr>
        <w:ind w:left="0" w:firstLine="0"/>
      </w:pPr>
      <w:r w:rsidRPr="00BE5A94">
        <w:t>Po podání přípravku, manipulaci s ním a po čištění zvratk</w:t>
      </w:r>
      <w:r>
        <w:t>ů</w:t>
      </w:r>
      <w:r w:rsidRPr="00BE5A94">
        <w:t xml:space="preserve"> a vyměňování podestýlky léčených zvířat si umyjte ruce mýdlem a vodou. </w:t>
      </w:r>
      <w:r>
        <w:t>Veškeré potřísnění pokožky ihned</w:t>
      </w:r>
      <w:r w:rsidRPr="00BE5A94">
        <w:t xml:space="preserve"> omyjte.</w:t>
      </w:r>
    </w:p>
    <w:p w:rsidR="00836E22" w:rsidRPr="00BE5A94" w:rsidRDefault="00836E22" w:rsidP="004320D0">
      <w:pPr>
        <w:ind w:left="0" w:firstLine="0"/>
      </w:pPr>
      <w:r w:rsidRPr="00BE5A94">
        <w:t>Po podání přípravku otřete jakýkoliv zbyt</w:t>
      </w:r>
      <w:r>
        <w:t>e</w:t>
      </w:r>
      <w:r w:rsidRPr="00BE5A94">
        <w:t>k</w:t>
      </w:r>
      <w:r>
        <w:t xml:space="preserve"> přípravku </w:t>
      </w:r>
      <w:r w:rsidRPr="00BE5A94">
        <w:t xml:space="preserve">na špičce dávkovací stříkačky čistým papírovým kapesníkem. Kontaminovaný papírový kapesník musí být </w:t>
      </w:r>
      <w:r>
        <w:t xml:space="preserve">ihned </w:t>
      </w:r>
      <w:r w:rsidRPr="00BE5A94">
        <w:t>zlikvidován.</w:t>
      </w:r>
    </w:p>
    <w:p w:rsidR="00836E22" w:rsidRPr="00BE5A94" w:rsidRDefault="00836E22" w:rsidP="00836E22">
      <w:pPr>
        <w:tabs>
          <w:tab w:val="left" w:pos="851"/>
        </w:tabs>
      </w:pPr>
      <w:r w:rsidRPr="00BE5A94">
        <w:t>Použitou stříkačku uložte s</w:t>
      </w:r>
      <w:r>
        <w:t> přípravkem do </w:t>
      </w:r>
      <w:r w:rsidRPr="00BE5A94">
        <w:t>původní</w:t>
      </w:r>
      <w:r>
        <w:t>ho</w:t>
      </w:r>
      <w:r w:rsidRPr="00BE5A94">
        <w:t xml:space="preserve"> obalu.</w:t>
      </w:r>
    </w:p>
    <w:p w:rsidR="00836E22" w:rsidRPr="00BE5A94" w:rsidRDefault="00836E22" w:rsidP="00D05ADF">
      <w:pPr>
        <w:autoSpaceDE w:val="0"/>
        <w:autoSpaceDN w:val="0"/>
        <w:adjustRightInd w:val="0"/>
        <w:ind w:left="0" w:firstLine="0"/>
      </w:pPr>
      <w:r w:rsidRPr="00BE5A94">
        <w:t>V případě náhodného po</w:t>
      </w:r>
      <w:r>
        <w:t>žití</w:t>
      </w:r>
      <w:r w:rsidRPr="00BE5A94">
        <w:t xml:space="preserve"> vyhledejte ihned lékařskou pomoc a ukažte příbalovou informaci nebo etiketu lékaři.</w:t>
      </w:r>
    </w:p>
    <w:p w:rsidR="00836E22" w:rsidRDefault="00836E22" w:rsidP="00836E22">
      <w:pPr>
        <w:tabs>
          <w:tab w:val="left" w:pos="851"/>
        </w:tabs>
      </w:pPr>
      <w:r w:rsidRPr="00BE5A94" w:rsidDel="00C8717C">
        <w:t>Tento p</w:t>
      </w:r>
      <w:r w:rsidDel="00C8717C">
        <w:t>řípravek</w:t>
      </w:r>
      <w:r w:rsidRPr="00BE5A94" w:rsidDel="00C8717C">
        <w:t xml:space="preserve"> může způsobit podráždění očí.</w:t>
      </w:r>
    </w:p>
    <w:p w:rsidR="00836E22" w:rsidRPr="00BE5A94" w:rsidRDefault="00836E22" w:rsidP="00836E22">
      <w:pPr>
        <w:tabs>
          <w:tab w:val="left" w:pos="851"/>
        </w:tabs>
      </w:pPr>
      <w:r>
        <w:t xml:space="preserve">Zabraňte </w:t>
      </w:r>
      <w:r w:rsidRPr="00BE5A94">
        <w:t>kontaktu s</w:t>
      </w:r>
      <w:r>
        <w:t> </w:t>
      </w:r>
      <w:r w:rsidRPr="00BE5A94">
        <w:t>očima</w:t>
      </w:r>
      <w:r>
        <w:t>, včetně kontaktu ruky s očima</w:t>
      </w:r>
      <w:r w:rsidRPr="00BE5A94">
        <w:t>.</w:t>
      </w:r>
    </w:p>
    <w:p w:rsidR="00836E22" w:rsidRPr="00BE5A94" w:rsidRDefault="00836E22" w:rsidP="00D05ADF">
      <w:pPr>
        <w:tabs>
          <w:tab w:val="left" w:pos="851"/>
        </w:tabs>
        <w:ind w:left="0" w:firstLine="0"/>
      </w:pPr>
      <w:r w:rsidRPr="00BE5A94">
        <w:t xml:space="preserve">V případě náhodného kontaktu s očima </w:t>
      </w:r>
      <w:r>
        <w:t>ihned</w:t>
      </w:r>
      <w:r w:rsidRPr="00BE5A94">
        <w:t xml:space="preserve"> vypláchněte čistou tekoucí vodou. Pokud se objeví podráždění, vyhledejte lékařskou pomoc. </w:t>
      </w:r>
    </w:p>
    <w:p w:rsidR="00836E22" w:rsidRPr="00BE5A94" w:rsidRDefault="00836E22" w:rsidP="004320D0">
      <w:pPr>
        <w:ind w:left="0" w:firstLine="0"/>
        <w:rPr>
          <w:b/>
        </w:rPr>
      </w:pPr>
      <w:r w:rsidRPr="00BE5A94">
        <w:rPr>
          <w:b/>
        </w:rPr>
        <w:t>Vzhledem k tomu, že u </w:t>
      </w:r>
      <w:proofErr w:type="spellStart"/>
      <w:r w:rsidRPr="00BE5A94">
        <w:rPr>
          <w:b/>
        </w:rPr>
        <w:t>thiamazolu</w:t>
      </w:r>
      <w:proofErr w:type="spellEnd"/>
      <w:r w:rsidRPr="00BE5A94">
        <w:rPr>
          <w:b/>
        </w:rPr>
        <w:t xml:space="preserve"> je podezření na lidský teratogen, musí ženy v plodném věku při podávání tohoto přípravku nebo při zacházení s podestýlkou/</w:t>
      </w:r>
      <w:proofErr w:type="spellStart"/>
      <w:r w:rsidRPr="00BE5A94">
        <w:rPr>
          <w:b/>
        </w:rPr>
        <w:t>zvratkami</w:t>
      </w:r>
      <w:proofErr w:type="spellEnd"/>
      <w:r w:rsidRPr="00BE5A94">
        <w:rPr>
          <w:b/>
        </w:rPr>
        <w:t xml:space="preserve"> léčených koček nosit neprodyšné jednorázové rukavice.</w:t>
      </w:r>
    </w:p>
    <w:p w:rsidR="00836E22" w:rsidRPr="00BE5A94" w:rsidRDefault="00836E22" w:rsidP="004320D0">
      <w:pPr>
        <w:ind w:left="0" w:firstLine="0"/>
        <w:rPr>
          <w:b/>
        </w:rPr>
      </w:pPr>
      <w:r w:rsidRPr="00BE5A94">
        <w:rPr>
          <w:b/>
        </w:rPr>
        <w:t>Pokud jste těhotná, domníváte se, že můžete být těhotná nebo plánujete otěhotnět, nepodávejte tento přípravek a nezacházejte s podestýlkou/</w:t>
      </w:r>
      <w:proofErr w:type="spellStart"/>
      <w:r w:rsidRPr="00BE5A94">
        <w:rPr>
          <w:b/>
        </w:rPr>
        <w:t>zvratkami</w:t>
      </w:r>
      <w:proofErr w:type="spellEnd"/>
      <w:r w:rsidRPr="00BE5A94">
        <w:rPr>
          <w:b/>
        </w:rPr>
        <w:t xml:space="preserve"> léčených koček.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4.6</w:t>
      </w:r>
      <w:r w:rsidRPr="00BE5A94">
        <w:rPr>
          <w:b/>
          <w:szCs w:val="22"/>
        </w:rPr>
        <w:tab/>
        <w:t>Nežádoucí účinky (frekvence a závažnost)</w:t>
      </w:r>
    </w:p>
    <w:p w:rsidR="00836E22" w:rsidRPr="00BE5A94" w:rsidRDefault="00836E22" w:rsidP="00836E22">
      <w:pPr>
        <w:rPr>
          <w:b/>
          <w:szCs w:val="22"/>
        </w:rPr>
      </w:pPr>
    </w:p>
    <w:p w:rsidR="00836E22" w:rsidRPr="00BE5A94" w:rsidRDefault="00836E22" w:rsidP="00D05ADF">
      <w:pPr>
        <w:autoSpaceDE w:val="0"/>
        <w:autoSpaceDN w:val="0"/>
        <w:adjustRightInd w:val="0"/>
        <w:ind w:left="0" w:firstLine="0"/>
        <w:jc w:val="both"/>
        <w:rPr>
          <w:rFonts w:cs="Arial"/>
          <w:szCs w:val="24"/>
          <w:lang w:eastAsia="en-GB"/>
        </w:rPr>
      </w:pPr>
      <w:r w:rsidRPr="00BE5A94">
        <w:rPr>
          <w:rFonts w:cs="Arial"/>
          <w:szCs w:val="24"/>
          <w:lang w:eastAsia="en-GB"/>
        </w:rPr>
        <w:t xml:space="preserve">Po dlouhodobé </w:t>
      </w:r>
      <w:r>
        <w:rPr>
          <w:rFonts w:cs="Arial"/>
          <w:szCs w:val="24"/>
          <w:lang w:eastAsia="en-GB"/>
        </w:rPr>
        <w:t>léčbě</w:t>
      </w:r>
      <w:r w:rsidRPr="00BE5A94">
        <w:rPr>
          <w:rFonts w:cs="Arial"/>
          <w:szCs w:val="24"/>
          <w:lang w:eastAsia="en-GB"/>
        </w:rPr>
        <w:t xml:space="preserve"> hypertyreózy byly hlášeny nežádoucí účinky. U mnoha případů mohou být příznaky mírné a přechodné a nemusí být důvodem k ukončení léčby. Závažnější účinky </w:t>
      </w:r>
      <w:r>
        <w:rPr>
          <w:rFonts w:cs="Arial"/>
          <w:szCs w:val="24"/>
          <w:lang w:eastAsia="en-GB"/>
        </w:rPr>
        <w:t xml:space="preserve">většinou vymizí </w:t>
      </w:r>
      <w:r w:rsidRPr="00BE5A94">
        <w:rPr>
          <w:rFonts w:cs="Arial"/>
          <w:szCs w:val="24"/>
          <w:lang w:eastAsia="en-GB"/>
        </w:rPr>
        <w:t>po </w:t>
      </w:r>
      <w:r>
        <w:rPr>
          <w:rFonts w:cs="Arial"/>
          <w:szCs w:val="24"/>
          <w:lang w:eastAsia="en-GB"/>
        </w:rPr>
        <w:t>ukončení</w:t>
      </w:r>
      <w:r w:rsidRPr="00BE5A94">
        <w:rPr>
          <w:rFonts w:cs="Arial"/>
          <w:szCs w:val="24"/>
          <w:lang w:eastAsia="en-GB"/>
        </w:rPr>
        <w:t xml:space="preserve"> léčby. </w:t>
      </w:r>
    </w:p>
    <w:p w:rsidR="00836E22" w:rsidRPr="00BE5A94" w:rsidRDefault="00836E22" w:rsidP="004320D0">
      <w:pPr>
        <w:autoSpaceDE w:val="0"/>
        <w:autoSpaceDN w:val="0"/>
        <w:adjustRightInd w:val="0"/>
        <w:ind w:left="0" w:firstLine="0"/>
        <w:jc w:val="both"/>
      </w:pPr>
      <w:r>
        <w:t>Výskyt n</w:t>
      </w:r>
      <w:r w:rsidRPr="00BE5A94">
        <w:t>ežádoucí</w:t>
      </w:r>
      <w:r>
        <w:t>ch</w:t>
      </w:r>
      <w:r w:rsidRPr="00BE5A94">
        <w:t xml:space="preserve"> účink</w:t>
      </w:r>
      <w:r>
        <w:t>ů</w:t>
      </w:r>
      <w:r w:rsidRPr="00BE5A94">
        <w:t xml:space="preserve"> j</w:t>
      </w:r>
      <w:r>
        <w:t>e</w:t>
      </w:r>
      <w:r w:rsidRPr="00BE5A94">
        <w:t xml:space="preserve"> neobvykl</w:t>
      </w:r>
      <w:r>
        <w:t>ý</w:t>
      </w:r>
      <w:r w:rsidRPr="00BE5A94">
        <w:t xml:space="preserve">. Mezi nejčastější hlášené nežádoucí účinky patří zvracení, nechutenství/anorexie, letargie, </w:t>
      </w:r>
      <w:r>
        <w:t>silné</w:t>
      </w:r>
      <w:r w:rsidRPr="00BE5A94">
        <w:t xml:space="preserve"> svědění a </w:t>
      </w:r>
      <w:r>
        <w:t>poškození kůže na</w:t>
      </w:r>
      <w:r w:rsidRPr="00BE5A94">
        <w:t xml:space="preserve"> hlav</w:t>
      </w:r>
      <w:r>
        <w:t>ě</w:t>
      </w:r>
      <w:r w:rsidRPr="00BE5A94">
        <w:t xml:space="preserve"> a krku, </w:t>
      </w:r>
      <w:r>
        <w:t>hemoragická</w:t>
      </w:r>
      <w:r w:rsidRPr="00BE5A94">
        <w:t xml:space="preserve"> diatéza a ikterus související s </w:t>
      </w:r>
      <w:proofErr w:type="spellStart"/>
      <w:r w:rsidRPr="00BE5A94">
        <w:t>hepatopatií</w:t>
      </w:r>
      <w:proofErr w:type="spellEnd"/>
      <w:r w:rsidRPr="00BE5A94">
        <w:t xml:space="preserve"> a hematologické </w:t>
      </w:r>
      <w:r>
        <w:t>anomáliemi</w:t>
      </w:r>
      <w:r w:rsidRPr="00BE5A94">
        <w:t xml:space="preserve"> (</w:t>
      </w:r>
      <w:proofErr w:type="spellStart"/>
      <w:r w:rsidRPr="00BE5A94">
        <w:t>eosinofilie</w:t>
      </w:r>
      <w:proofErr w:type="spellEnd"/>
      <w:r w:rsidRPr="00BE5A94">
        <w:t xml:space="preserve">, lymfocytóza, </w:t>
      </w:r>
      <w:proofErr w:type="spellStart"/>
      <w:r w:rsidRPr="00BE5A94">
        <w:t>neutropenie</w:t>
      </w:r>
      <w:proofErr w:type="spellEnd"/>
      <w:r w:rsidRPr="00BE5A94">
        <w:t xml:space="preserve">, lymfopenie, mírná leukopenie, </w:t>
      </w:r>
      <w:proofErr w:type="spellStart"/>
      <w:r w:rsidRPr="00BE5A94">
        <w:t>agranulocytóza</w:t>
      </w:r>
      <w:proofErr w:type="spellEnd"/>
      <w:r w:rsidRPr="00BE5A94">
        <w:t xml:space="preserve">, trombocytopenie nebo hemolytická anémie). Tyto nežádoucí účinky </w:t>
      </w:r>
      <w:r>
        <w:t>vymizí</w:t>
      </w:r>
      <w:r w:rsidRPr="00BE5A94">
        <w:t xml:space="preserve"> do 7–45 dnů po ukončení léčby </w:t>
      </w:r>
      <w:proofErr w:type="spellStart"/>
      <w:r w:rsidRPr="00BE5A94">
        <w:t>thiamazolem</w:t>
      </w:r>
      <w:proofErr w:type="spellEnd"/>
      <w:r w:rsidRPr="00BE5A94">
        <w:t>.</w:t>
      </w:r>
    </w:p>
    <w:p w:rsidR="00836E22" w:rsidRPr="00BE5A94" w:rsidRDefault="00836E22" w:rsidP="004320D0">
      <w:pPr>
        <w:autoSpaceDE w:val="0"/>
        <w:autoSpaceDN w:val="0"/>
        <w:adjustRightInd w:val="0"/>
        <w:ind w:left="0" w:firstLine="0"/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Vzácně se vyskytla a</w:t>
      </w:r>
      <w:r w:rsidRPr="00BE5A94">
        <w:rPr>
          <w:rFonts w:cs="Arial"/>
          <w:szCs w:val="24"/>
          <w:lang w:eastAsia="en-GB"/>
        </w:rPr>
        <w:t xml:space="preserve">némie včetně trombocytopenie </w:t>
      </w:r>
      <w:proofErr w:type="gramStart"/>
      <w:r w:rsidRPr="00BE5A94">
        <w:rPr>
          <w:rFonts w:cs="Arial"/>
          <w:szCs w:val="24"/>
          <w:lang w:eastAsia="en-GB"/>
        </w:rPr>
        <w:t xml:space="preserve">a  </w:t>
      </w:r>
      <w:proofErr w:type="spellStart"/>
      <w:r>
        <w:rPr>
          <w:rFonts w:cs="Arial"/>
          <w:szCs w:val="24"/>
          <w:lang w:eastAsia="en-GB"/>
        </w:rPr>
        <w:t>antinukleární</w:t>
      </w:r>
      <w:proofErr w:type="spellEnd"/>
      <w:proofErr w:type="gramEnd"/>
      <w:r w:rsidRPr="00BE5A94">
        <w:rPr>
          <w:rFonts w:cs="Arial"/>
          <w:szCs w:val="24"/>
          <w:lang w:eastAsia="en-GB"/>
        </w:rPr>
        <w:t xml:space="preserve"> protilátk</w:t>
      </w:r>
      <w:r>
        <w:rPr>
          <w:rFonts w:cs="Arial"/>
          <w:szCs w:val="24"/>
          <w:lang w:eastAsia="en-GB"/>
        </w:rPr>
        <w:t>y</w:t>
      </w:r>
      <w:r w:rsidRPr="00BE5A94">
        <w:rPr>
          <w:rFonts w:cs="Arial"/>
          <w:szCs w:val="24"/>
          <w:lang w:eastAsia="en-GB"/>
        </w:rPr>
        <w:t xml:space="preserve"> </w:t>
      </w:r>
      <w:r>
        <w:rPr>
          <w:rFonts w:cs="Arial"/>
          <w:szCs w:val="24"/>
          <w:lang w:eastAsia="en-GB"/>
        </w:rPr>
        <w:t>v séru</w:t>
      </w:r>
      <w:r w:rsidRPr="00BE5A94">
        <w:rPr>
          <w:rFonts w:cs="Arial"/>
          <w:szCs w:val="24"/>
          <w:lang w:eastAsia="en-GB"/>
        </w:rPr>
        <w:t>. Lymfadenopatie se vyskytla velmi vzácně. Léčba by měla být okamžitě zastavena a po patřičné době pro zotavení by měla být zvážena alternativní terapie.</w:t>
      </w:r>
    </w:p>
    <w:p w:rsidR="00836E22" w:rsidRPr="00BE5A94" w:rsidRDefault="00836E22" w:rsidP="004320D0">
      <w:pPr>
        <w:tabs>
          <w:tab w:val="left" w:pos="720"/>
        </w:tabs>
        <w:ind w:left="0" w:firstLine="0"/>
        <w:jc w:val="both"/>
        <w:rPr>
          <w:rFonts w:cs="Arial"/>
          <w:szCs w:val="24"/>
          <w:lang w:eastAsia="en-GB"/>
        </w:rPr>
      </w:pPr>
      <w:r w:rsidRPr="00BE5A94">
        <w:rPr>
          <w:rFonts w:cs="Arial"/>
          <w:szCs w:val="24"/>
          <w:lang w:eastAsia="en-GB"/>
        </w:rPr>
        <w:t xml:space="preserve">Po dlouhodobé léčbě </w:t>
      </w:r>
      <w:proofErr w:type="spellStart"/>
      <w:r w:rsidRPr="00BE5A94">
        <w:rPr>
          <w:rFonts w:cs="Arial"/>
          <w:szCs w:val="24"/>
          <w:lang w:eastAsia="en-GB"/>
        </w:rPr>
        <w:t>thiamazolem</w:t>
      </w:r>
      <w:proofErr w:type="spellEnd"/>
      <w:r w:rsidRPr="00BE5A94">
        <w:rPr>
          <w:rFonts w:cs="Arial"/>
          <w:szCs w:val="24"/>
          <w:lang w:eastAsia="en-GB"/>
        </w:rPr>
        <w:t xml:space="preserve"> u hlodavců bylo prokázáno zvýšené riziko </w:t>
      </w:r>
      <w:proofErr w:type="spellStart"/>
      <w:proofErr w:type="gramStart"/>
      <w:r w:rsidRPr="00BE5A94">
        <w:rPr>
          <w:rFonts w:cs="Arial"/>
          <w:szCs w:val="24"/>
          <w:lang w:eastAsia="en-GB"/>
        </w:rPr>
        <w:t>neopla</w:t>
      </w:r>
      <w:r>
        <w:rPr>
          <w:rFonts w:cs="Arial"/>
          <w:szCs w:val="24"/>
          <w:lang w:eastAsia="en-GB"/>
        </w:rPr>
        <w:t>z</w:t>
      </w:r>
      <w:r w:rsidRPr="00BE5A94">
        <w:rPr>
          <w:rFonts w:cs="Arial"/>
          <w:szCs w:val="24"/>
          <w:lang w:eastAsia="en-GB"/>
        </w:rPr>
        <w:t>ie</w:t>
      </w:r>
      <w:proofErr w:type="spellEnd"/>
      <w:r w:rsidRPr="00BE5A94">
        <w:rPr>
          <w:rFonts w:cs="Arial"/>
          <w:szCs w:val="24"/>
          <w:lang w:eastAsia="en-GB"/>
        </w:rPr>
        <w:t xml:space="preserve">  štítné</w:t>
      </w:r>
      <w:proofErr w:type="gramEnd"/>
      <w:r w:rsidRPr="00BE5A94">
        <w:rPr>
          <w:rFonts w:cs="Arial"/>
          <w:szCs w:val="24"/>
          <w:lang w:eastAsia="en-GB"/>
        </w:rPr>
        <w:t xml:space="preserve"> žláz</w:t>
      </w:r>
      <w:r>
        <w:rPr>
          <w:rFonts w:cs="Arial"/>
          <w:szCs w:val="24"/>
          <w:lang w:eastAsia="en-GB"/>
        </w:rPr>
        <w:t>y</w:t>
      </w:r>
      <w:r w:rsidRPr="00BE5A94">
        <w:rPr>
          <w:rFonts w:cs="Arial"/>
          <w:szCs w:val="24"/>
          <w:lang w:eastAsia="en-GB"/>
        </w:rPr>
        <w:t>, ale u koček toto prokázáno nebylo.</w:t>
      </w:r>
    </w:p>
    <w:p w:rsidR="00836E22" w:rsidRPr="00BE5A94" w:rsidRDefault="00836E22" w:rsidP="00836E22">
      <w:pPr>
        <w:tabs>
          <w:tab w:val="left" w:pos="720"/>
        </w:tabs>
        <w:jc w:val="both"/>
        <w:rPr>
          <w:rFonts w:cs="Arial"/>
          <w:szCs w:val="24"/>
          <w:lang w:eastAsia="en-GB"/>
        </w:rPr>
      </w:pPr>
    </w:p>
    <w:p w:rsidR="00836E22" w:rsidRPr="00BE5A94" w:rsidRDefault="00836E22" w:rsidP="00836E22">
      <w:pPr>
        <w:tabs>
          <w:tab w:val="left" w:pos="720"/>
        </w:tabs>
        <w:jc w:val="both"/>
        <w:rPr>
          <w:rFonts w:cs="Arial"/>
          <w:szCs w:val="24"/>
          <w:lang w:eastAsia="en-GB"/>
        </w:rPr>
      </w:pPr>
      <w:r w:rsidRPr="00BE5A94">
        <w:rPr>
          <w:rFonts w:cs="Arial"/>
          <w:szCs w:val="24"/>
          <w:lang w:eastAsia="en-GB"/>
        </w:rPr>
        <w:t>Četnost nežádoucích účinků je charakterizována podle následujících pravidel:</w:t>
      </w:r>
    </w:p>
    <w:p w:rsidR="00836E22" w:rsidRPr="00BE5A94" w:rsidRDefault="00836E22" w:rsidP="00836E22">
      <w:pPr>
        <w:tabs>
          <w:tab w:val="left" w:pos="720"/>
        </w:tabs>
        <w:jc w:val="both"/>
        <w:rPr>
          <w:rFonts w:cs="Arial"/>
          <w:szCs w:val="24"/>
          <w:lang w:eastAsia="en-GB"/>
        </w:rPr>
      </w:pPr>
      <w:r w:rsidRPr="00BE5A94">
        <w:rPr>
          <w:rFonts w:cs="Arial"/>
          <w:szCs w:val="24"/>
          <w:lang w:eastAsia="en-GB"/>
        </w:rPr>
        <w:t>- velmi časté (nežádoucí účinek</w:t>
      </w:r>
      <w:r>
        <w:rPr>
          <w:rFonts w:cs="Arial"/>
          <w:szCs w:val="24"/>
          <w:lang w:eastAsia="en-GB"/>
        </w:rPr>
        <w:t xml:space="preserve"> </w:t>
      </w:r>
      <w:r w:rsidRPr="00BE5A94">
        <w:rPr>
          <w:rFonts w:cs="Arial"/>
          <w:szCs w:val="24"/>
          <w:lang w:eastAsia="en-GB"/>
        </w:rPr>
        <w:t>(</w:t>
      </w:r>
      <w:r>
        <w:rPr>
          <w:rFonts w:cs="Arial"/>
          <w:szCs w:val="24"/>
          <w:lang w:eastAsia="en-GB"/>
        </w:rPr>
        <w:t>účin</w:t>
      </w:r>
      <w:r w:rsidRPr="00BE5A94">
        <w:rPr>
          <w:rFonts w:cs="Arial"/>
          <w:szCs w:val="24"/>
          <w:lang w:eastAsia="en-GB"/>
        </w:rPr>
        <w:t>ky) se projevil</w:t>
      </w:r>
      <w:r>
        <w:rPr>
          <w:rFonts w:cs="Arial"/>
          <w:szCs w:val="24"/>
          <w:lang w:eastAsia="en-GB"/>
        </w:rPr>
        <w:t xml:space="preserve"> </w:t>
      </w:r>
      <w:r w:rsidRPr="00BE5A94">
        <w:rPr>
          <w:rFonts w:cs="Arial"/>
          <w:szCs w:val="24"/>
          <w:lang w:eastAsia="en-GB"/>
        </w:rPr>
        <w:t>(</w:t>
      </w:r>
      <w:r>
        <w:rPr>
          <w:rFonts w:cs="Arial"/>
          <w:szCs w:val="24"/>
          <w:lang w:eastAsia="en-GB"/>
        </w:rPr>
        <w:t>projevil</w:t>
      </w:r>
      <w:r w:rsidRPr="00BE5A94">
        <w:rPr>
          <w:rFonts w:cs="Arial"/>
          <w:szCs w:val="24"/>
          <w:lang w:eastAsia="en-GB"/>
        </w:rPr>
        <w:t>y) u více než 1 z 10 ošetřených zvířat</w:t>
      </w:r>
      <w:r>
        <w:rPr>
          <w:rFonts w:cs="Arial"/>
          <w:szCs w:val="24"/>
          <w:lang w:eastAsia="en-GB"/>
        </w:rPr>
        <w:t>)</w:t>
      </w:r>
      <w:r w:rsidRPr="00BE5A94">
        <w:rPr>
          <w:rFonts w:cs="Arial"/>
          <w:szCs w:val="24"/>
          <w:lang w:eastAsia="en-GB"/>
        </w:rPr>
        <w:t xml:space="preserve"> </w:t>
      </w:r>
    </w:p>
    <w:p w:rsidR="00836E22" w:rsidRPr="00BE5A94" w:rsidRDefault="00836E22" w:rsidP="00836E22">
      <w:pPr>
        <w:tabs>
          <w:tab w:val="left" w:pos="720"/>
        </w:tabs>
        <w:jc w:val="both"/>
        <w:rPr>
          <w:rFonts w:cs="Arial"/>
          <w:szCs w:val="24"/>
          <w:lang w:eastAsia="en-GB"/>
        </w:rPr>
      </w:pPr>
      <w:r w:rsidRPr="00BE5A94">
        <w:rPr>
          <w:rFonts w:cs="Arial"/>
          <w:szCs w:val="24"/>
          <w:lang w:eastAsia="en-GB"/>
        </w:rPr>
        <w:t xml:space="preserve">- časté (u více než 1, ale méně než 10 ze 100 ošetřených zvířat) </w:t>
      </w:r>
    </w:p>
    <w:p w:rsidR="00836E22" w:rsidRPr="00BE5A94" w:rsidRDefault="00836E22" w:rsidP="00836E22">
      <w:pPr>
        <w:tabs>
          <w:tab w:val="left" w:pos="720"/>
        </w:tabs>
        <w:jc w:val="both"/>
        <w:rPr>
          <w:rFonts w:cs="Arial"/>
          <w:szCs w:val="24"/>
          <w:lang w:eastAsia="en-GB"/>
        </w:rPr>
      </w:pPr>
      <w:r w:rsidRPr="00BE5A94">
        <w:rPr>
          <w:rFonts w:cs="Arial"/>
          <w:szCs w:val="24"/>
          <w:lang w:eastAsia="en-GB"/>
        </w:rPr>
        <w:t xml:space="preserve">- neobvyklé (u více než 1, ale méně než 10 z 1000 ošetřených zvířat) </w:t>
      </w:r>
    </w:p>
    <w:p w:rsidR="00836E22" w:rsidRPr="00BE5A94" w:rsidRDefault="00836E22" w:rsidP="00836E22">
      <w:pPr>
        <w:tabs>
          <w:tab w:val="left" w:pos="720"/>
        </w:tabs>
        <w:jc w:val="both"/>
        <w:rPr>
          <w:rFonts w:cs="Arial"/>
          <w:szCs w:val="24"/>
          <w:lang w:eastAsia="en-GB"/>
        </w:rPr>
      </w:pPr>
      <w:r w:rsidRPr="00BE5A94">
        <w:rPr>
          <w:rFonts w:cs="Arial"/>
          <w:szCs w:val="24"/>
          <w:lang w:eastAsia="en-GB"/>
        </w:rPr>
        <w:lastRenderedPageBreak/>
        <w:t xml:space="preserve">- vzácné (u více než 1, ale méně než 10 z 10000 ošetřených zvířat) </w:t>
      </w:r>
    </w:p>
    <w:p w:rsidR="00836E22" w:rsidRPr="00BE5A94" w:rsidRDefault="00836E22" w:rsidP="00836E22">
      <w:pPr>
        <w:tabs>
          <w:tab w:val="left" w:pos="720"/>
        </w:tabs>
        <w:jc w:val="both"/>
        <w:rPr>
          <w:rFonts w:cs="Arial"/>
          <w:szCs w:val="24"/>
          <w:lang w:eastAsia="en-GB"/>
        </w:rPr>
      </w:pPr>
      <w:r w:rsidRPr="00BE5A94">
        <w:rPr>
          <w:rFonts w:cs="Arial"/>
          <w:szCs w:val="24"/>
          <w:lang w:eastAsia="en-GB"/>
        </w:rPr>
        <w:t>- velmi vzácné (u méně než 1 z 10000 ošetřených zvířat, včetně ojedinělých hlášení).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4.7</w:t>
      </w:r>
      <w:r w:rsidRPr="00BE5A94">
        <w:rPr>
          <w:b/>
          <w:szCs w:val="22"/>
        </w:rPr>
        <w:tab/>
        <w:t>Použití v průběhu březosti</w:t>
      </w:r>
      <w:r>
        <w:rPr>
          <w:b/>
          <w:szCs w:val="22"/>
        </w:rPr>
        <w:t xml:space="preserve"> a</w:t>
      </w:r>
      <w:r w:rsidRPr="00BE5A94">
        <w:rPr>
          <w:b/>
          <w:szCs w:val="22"/>
        </w:rPr>
        <w:t xml:space="preserve"> laktace 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D05ADF">
      <w:pPr>
        <w:ind w:left="0" w:firstLine="0"/>
        <w:jc w:val="both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Laboratorní studie u potkanů a myší prokázaly teratogenní a embryotoxické účinky </w:t>
      </w:r>
      <w:proofErr w:type="spellStart"/>
      <w:r w:rsidRPr="00BE5A94">
        <w:rPr>
          <w:rFonts w:cs="Arial"/>
          <w:szCs w:val="24"/>
        </w:rPr>
        <w:t>thiamazolu</w:t>
      </w:r>
      <w:proofErr w:type="spellEnd"/>
      <w:r w:rsidRPr="00BE5A94">
        <w:rPr>
          <w:rFonts w:cs="Arial"/>
          <w:szCs w:val="24"/>
        </w:rPr>
        <w:t>. U koček nebyla bezpečnost veterinárního léčivého přípravku během březosti nebo laktace stanovena. Nepoužívat během březosti nebo laktace. Viz bod 5.2.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4.8</w:t>
      </w:r>
      <w:r w:rsidRPr="00BE5A94">
        <w:rPr>
          <w:b/>
          <w:szCs w:val="22"/>
        </w:rPr>
        <w:tab/>
        <w:t>Interakce s dalšími léčivými přípravky a další formy interakce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jc w:val="both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Souběžná léčba fenobarbitalem může snížit klinickou účinnost </w:t>
      </w:r>
      <w:proofErr w:type="spellStart"/>
      <w:r w:rsidRPr="00BE5A94">
        <w:rPr>
          <w:rFonts w:cs="Arial"/>
          <w:szCs w:val="24"/>
        </w:rPr>
        <w:t>thiamazolu</w:t>
      </w:r>
      <w:proofErr w:type="spellEnd"/>
      <w:r w:rsidRPr="00BE5A94">
        <w:rPr>
          <w:rFonts w:cs="Arial"/>
          <w:szCs w:val="24"/>
        </w:rPr>
        <w:t>.</w:t>
      </w:r>
    </w:p>
    <w:p w:rsidR="00836E22" w:rsidRPr="00BE5A94" w:rsidRDefault="00836E22" w:rsidP="00D05ADF">
      <w:pPr>
        <w:ind w:left="0" w:firstLine="0"/>
        <w:jc w:val="both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Je známo, že </w:t>
      </w:r>
      <w:proofErr w:type="spellStart"/>
      <w:r w:rsidRPr="00BE5A94">
        <w:rPr>
          <w:rFonts w:cs="Arial"/>
          <w:szCs w:val="24"/>
        </w:rPr>
        <w:t>thiamazol</w:t>
      </w:r>
      <w:proofErr w:type="spellEnd"/>
      <w:r w:rsidRPr="00BE5A94">
        <w:rPr>
          <w:rFonts w:cs="Arial"/>
          <w:szCs w:val="24"/>
        </w:rPr>
        <w:t xml:space="preserve"> snižuje oxidaci </w:t>
      </w:r>
      <w:proofErr w:type="spellStart"/>
      <w:r w:rsidRPr="00BE5A94">
        <w:rPr>
          <w:rFonts w:cs="Arial"/>
          <w:szCs w:val="24"/>
        </w:rPr>
        <w:t>benzimidazolových</w:t>
      </w:r>
      <w:proofErr w:type="spellEnd"/>
      <w:r w:rsidRPr="00BE5A94">
        <w:rPr>
          <w:rFonts w:cs="Arial"/>
          <w:szCs w:val="24"/>
        </w:rPr>
        <w:t xml:space="preserve"> ant</w:t>
      </w:r>
      <w:r>
        <w:rPr>
          <w:rFonts w:cs="Arial"/>
          <w:szCs w:val="24"/>
        </w:rPr>
        <w:t>helmintik</w:t>
      </w:r>
      <w:r w:rsidRPr="00BE5A9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 játrech </w:t>
      </w:r>
      <w:r w:rsidRPr="00BE5A94">
        <w:rPr>
          <w:rFonts w:cs="Arial"/>
          <w:szCs w:val="24"/>
        </w:rPr>
        <w:t xml:space="preserve">a při souběžném podávání může vést ke zvýšení </w:t>
      </w:r>
      <w:r>
        <w:rPr>
          <w:rFonts w:cs="Arial"/>
          <w:szCs w:val="24"/>
        </w:rPr>
        <w:t xml:space="preserve">jejich </w:t>
      </w:r>
      <w:r w:rsidRPr="00BE5A94">
        <w:rPr>
          <w:rFonts w:cs="Arial"/>
          <w:szCs w:val="24"/>
        </w:rPr>
        <w:t>plazmatických koncentrací.</w:t>
      </w:r>
    </w:p>
    <w:p w:rsidR="00836E22" w:rsidRPr="00BE5A94" w:rsidRDefault="00836E22" w:rsidP="004320D0">
      <w:pPr>
        <w:tabs>
          <w:tab w:val="left" w:pos="720"/>
        </w:tabs>
        <w:ind w:left="0" w:firstLine="0"/>
        <w:jc w:val="both"/>
        <w:rPr>
          <w:rFonts w:cs="Arial"/>
          <w:szCs w:val="24"/>
        </w:rPr>
      </w:pPr>
      <w:proofErr w:type="spellStart"/>
      <w:r w:rsidRPr="00BE5A94">
        <w:rPr>
          <w:rFonts w:cs="Arial"/>
          <w:szCs w:val="24"/>
        </w:rPr>
        <w:t>Thiamazol</w:t>
      </w:r>
      <w:proofErr w:type="spellEnd"/>
      <w:r w:rsidRPr="00BE5A94">
        <w:rPr>
          <w:rFonts w:cs="Arial"/>
          <w:szCs w:val="24"/>
        </w:rPr>
        <w:t xml:space="preserve"> má </w:t>
      </w:r>
      <w:proofErr w:type="spellStart"/>
      <w:r w:rsidRPr="00BE5A94">
        <w:rPr>
          <w:rFonts w:cs="Arial"/>
          <w:szCs w:val="24"/>
        </w:rPr>
        <w:t>imunomodulační</w:t>
      </w:r>
      <w:proofErr w:type="spellEnd"/>
      <w:r w:rsidRPr="00BE5A94">
        <w:rPr>
          <w:rFonts w:cs="Arial"/>
          <w:szCs w:val="24"/>
        </w:rPr>
        <w:t xml:space="preserve"> účinky, což by se mělo brát v úvahu při zvažování vakcinačních programů.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4.9</w:t>
      </w:r>
      <w:r w:rsidRPr="00BE5A94">
        <w:rPr>
          <w:b/>
          <w:szCs w:val="22"/>
        </w:rPr>
        <w:tab/>
        <w:t>Podávané množství a způsob podání</w:t>
      </w:r>
    </w:p>
    <w:p w:rsidR="00836E22" w:rsidRPr="00BE5A94" w:rsidRDefault="00836E22" w:rsidP="00836E22">
      <w:pPr>
        <w:rPr>
          <w:b/>
          <w:bCs/>
          <w:szCs w:val="22"/>
        </w:rPr>
      </w:pPr>
    </w:p>
    <w:p w:rsidR="00836E22" w:rsidRPr="00BE5A94" w:rsidRDefault="00836E22" w:rsidP="00836E2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BE5A94">
        <w:rPr>
          <w:rFonts w:cs="Arial"/>
          <w:szCs w:val="24"/>
        </w:rPr>
        <w:t>erorální podání.</w:t>
      </w:r>
    </w:p>
    <w:p w:rsidR="00836E22" w:rsidRPr="00BE5A94" w:rsidRDefault="00836E22" w:rsidP="00D05ADF">
      <w:pPr>
        <w:ind w:left="0" w:firstLine="0"/>
        <w:jc w:val="both"/>
        <w:rPr>
          <w:rFonts w:cs="Arial"/>
          <w:szCs w:val="24"/>
        </w:rPr>
      </w:pPr>
      <w:r w:rsidRPr="00BE5A94">
        <w:rPr>
          <w:rFonts w:cs="Arial"/>
          <w:szCs w:val="24"/>
        </w:rPr>
        <w:t>Přípravek by měl být podáván přímo do úst kočky. Nepodávejte s </w:t>
      </w:r>
      <w:r>
        <w:rPr>
          <w:rFonts w:cs="Arial"/>
          <w:szCs w:val="24"/>
        </w:rPr>
        <w:t>krmivem</w:t>
      </w:r>
      <w:r w:rsidRPr="00BE5A94">
        <w:rPr>
          <w:rFonts w:cs="Arial"/>
          <w:szCs w:val="24"/>
        </w:rPr>
        <w:t>, protože účinnost přípravku při podání touto cestou nebyla stanovena.</w:t>
      </w:r>
    </w:p>
    <w:p w:rsidR="00836E22" w:rsidRPr="00BE5A94" w:rsidRDefault="00836E22" w:rsidP="00836E22">
      <w:pPr>
        <w:jc w:val="both"/>
        <w:rPr>
          <w:rFonts w:cs="Arial"/>
          <w:szCs w:val="24"/>
          <w:highlight w:val="yellow"/>
        </w:rPr>
      </w:pPr>
    </w:p>
    <w:p w:rsidR="00836E22" w:rsidRPr="00BE5A94" w:rsidRDefault="00836E22" w:rsidP="00D05ADF">
      <w:pPr>
        <w:widowControl w:val="0"/>
        <w:ind w:left="0" w:firstLine="0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Ke stabilizaci hypertyreózy </w:t>
      </w:r>
      <w:r>
        <w:rPr>
          <w:rFonts w:cs="Arial"/>
          <w:szCs w:val="24"/>
        </w:rPr>
        <w:t xml:space="preserve">u koček </w:t>
      </w:r>
      <w:r w:rsidRPr="00BE5A94">
        <w:rPr>
          <w:rFonts w:cs="Arial"/>
          <w:szCs w:val="24"/>
        </w:rPr>
        <w:t xml:space="preserve">před chirurgickou </w:t>
      </w:r>
      <w:proofErr w:type="spellStart"/>
      <w:r w:rsidRPr="00BE5A94">
        <w:rPr>
          <w:rFonts w:cs="Arial"/>
          <w:szCs w:val="24"/>
        </w:rPr>
        <w:t>tyreoidektomií</w:t>
      </w:r>
      <w:proofErr w:type="spellEnd"/>
      <w:r w:rsidRPr="00BE5A94">
        <w:rPr>
          <w:rFonts w:cs="Arial"/>
          <w:szCs w:val="24"/>
        </w:rPr>
        <w:t xml:space="preserve"> a pro dlouhodobou léčbu hypertyre</w:t>
      </w:r>
      <w:r>
        <w:rPr>
          <w:rFonts w:cs="Arial"/>
          <w:szCs w:val="24"/>
        </w:rPr>
        <w:t xml:space="preserve">ózy u koček </w:t>
      </w:r>
      <w:r w:rsidRPr="00BE5A94">
        <w:rPr>
          <w:rFonts w:cs="Arial"/>
          <w:szCs w:val="24"/>
        </w:rPr>
        <w:t xml:space="preserve">je doporučená počáteční dávka 5 mg </w:t>
      </w:r>
      <w:proofErr w:type="spellStart"/>
      <w:r w:rsidRPr="00BE5A94">
        <w:rPr>
          <w:rFonts w:cs="Arial"/>
          <w:szCs w:val="24"/>
        </w:rPr>
        <w:t>thiamazolu</w:t>
      </w:r>
      <w:proofErr w:type="spellEnd"/>
      <w:r w:rsidRPr="00BE5A94">
        <w:rPr>
          <w:rFonts w:cs="Arial"/>
          <w:szCs w:val="24"/>
        </w:rPr>
        <w:t xml:space="preserve"> (0,5 ml přípravku) denně.</w:t>
      </w:r>
    </w:p>
    <w:p w:rsidR="00836E22" w:rsidRPr="00BE5A94" w:rsidRDefault="00836E22" w:rsidP="004320D0">
      <w:pPr>
        <w:widowControl w:val="0"/>
        <w:ind w:left="0" w:firstLine="0"/>
        <w:rPr>
          <w:rFonts w:cs="Arial"/>
          <w:szCs w:val="24"/>
        </w:rPr>
      </w:pPr>
      <w:r w:rsidRPr="00BE5A94">
        <w:rPr>
          <w:rFonts w:cs="Arial"/>
          <w:szCs w:val="24"/>
        </w:rPr>
        <w:t>Celková denní dávka by měla být rozdělena na dvě dávky podávané ráno a večer. Aby se zvýšila stabilizace pacienta s hypertyreózou, měl by se denně používat stejný</w:t>
      </w:r>
      <w:r>
        <w:rPr>
          <w:rFonts w:cs="Arial"/>
          <w:szCs w:val="24"/>
        </w:rPr>
        <w:t xml:space="preserve"> rozvrh </w:t>
      </w:r>
      <w:r w:rsidRPr="00BE5A94">
        <w:rPr>
          <w:rFonts w:cs="Arial"/>
          <w:szCs w:val="24"/>
        </w:rPr>
        <w:t>dávkov</w:t>
      </w:r>
      <w:r>
        <w:rPr>
          <w:rFonts w:cs="Arial"/>
          <w:szCs w:val="24"/>
        </w:rPr>
        <w:t>ání</w:t>
      </w:r>
      <w:r w:rsidRPr="00BE5A9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vzhledem k režimu krmení. </w:t>
      </w:r>
    </w:p>
    <w:p w:rsidR="00836E22" w:rsidRPr="00BE5A94" w:rsidRDefault="00836E22" w:rsidP="00836E22">
      <w:pPr>
        <w:widowControl w:val="0"/>
        <w:rPr>
          <w:rFonts w:cs="Arial"/>
          <w:szCs w:val="24"/>
        </w:rPr>
      </w:pPr>
    </w:p>
    <w:p w:rsidR="00836E22" w:rsidRPr="00BE5A94" w:rsidRDefault="00836E22" w:rsidP="00D05ADF">
      <w:pPr>
        <w:widowControl w:val="0"/>
        <w:ind w:left="0" w:firstLine="0"/>
        <w:rPr>
          <w:rFonts w:cs="Arial"/>
          <w:szCs w:val="24"/>
        </w:rPr>
      </w:pPr>
      <w:r w:rsidRPr="00BE5A94">
        <w:rPr>
          <w:rFonts w:cs="Arial"/>
          <w:szCs w:val="24"/>
        </w:rPr>
        <w:t>Před zahájením léčby a </w:t>
      </w:r>
      <w:r>
        <w:rPr>
          <w:rFonts w:cs="Arial"/>
          <w:szCs w:val="24"/>
        </w:rPr>
        <w:t xml:space="preserve">poté </w:t>
      </w:r>
      <w:r w:rsidRPr="00BE5A94">
        <w:rPr>
          <w:rFonts w:cs="Arial"/>
          <w:szCs w:val="24"/>
        </w:rPr>
        <w:t>po 3, 6, 10</w:t>
      </w:r>
      <w:r>
        <w:rPr>
          <w:rFonts w:cs="Arial"/>
          <w:szCs w:val="24"/>
        </w:rPr>
        <w:t xml:space="preserve"> a </w:t>
      </w:r>
      <w:r w:rsidRPr="00BE5A94">
        <w:rPr>
          <w:rFonts w:cs="Arial"/>
          <w:szCs w:val="24"/>
        </w:rPr>
        <w:t>20 týdnech a </w:t>
      </w:r>
      <w:r>
        <w:rPr>
          <w:rFonts w:cs="Arial"/>
          <w:szCs w:val="24"/>
        </w:rPr>
        <w:t>dále</w:t>
      </w:r>
      <w:r w:rsidRPr="00BE5A94">
        <w:rPr>
          <w:rFonts w:cs="Arial"/>
          <w:szCs w:val="24"/>
        </w:rPr>
        <w:t xml:space="preserve"> každé 3 měsíce by měl</w:t>
      </w:r>
      <w:r>
        <w:rPr>
          <w:rFonts w:cs="Arial"/>
          <w:szCs w:val="24"/>
        </w:rPr>
        <w:t>o</w:t>
      </w:r>
      <w:r w:rsidRPr="00BE5A94">
        <w:rPr>
          <w:rFonts w:cs="Arial"/>
          <w:szCs w:val="24"/>
        </w:rPr>
        <w:t xml:space="preserve"> být </w:t>
      </w:r>
      <w:r>
        <w:rPr>
          <w:rFonts w:cs="Arial"/>
          <w:szCs w:val="24"/>
        </w:rPr>
        <w:t>provedeno</w:t>
      </w:r>
      <w:r w:rsidRPr="00BE5A94">
        <w:rPr>
          <w:rFonts w:cs="Arial"/>
          <w:szCs w:val="24"/>
        </w:rPr>
        <w:t xml:space="preserve"> hematologi</w:t>
      </w:r>
      <w:r>
        <w:rPr>
          <w:rFonts w:cs="Arial"/>
          <w:szCs w:val="24"/>
        </w:rPr>
        <w:t>cké a</w:t>
      </w:r>
      <w:r w:rsidRPr="00BE5A94">
        <w:rPr>
          <w:rFonts w:cs="Arial"/>
          <w:szCs w:val="24"/>
        </w:rPr>
        <w:t xml:space="preserve"> biochemi</w:t>
      </w:r>
      <w:r>
        <w:rPr>
          <w:rFonts w:cs="Arial"/>
          <w:szCs w:val="24"/>
        </w:rPr>
        <w:t xml:space="preserve">cké vyšetření a stanovení </w:t>
      </w:r>
      <w:r w:rsidRPr="00BE5A94">
        <w:rPr>
          <w:rFonts w:cs="Arial"/>
          <w:szCs w:val="24"/>
        </w:rPr>
        <w:t>celkové</w:t>
      </w:r>
      <w:r>
        <w:rPr>
          <w:rFonts w:cs="Arial"/>
          <w:szCs w:val="24"/>
        </w:rPr>
        <w:t>ho</w:t>
      </w:r>
      <w:r w:rsidRPr="00BE5A94">
        <w:rPr>
          <w:rFonts w:cs="Arial"/>
          <w:szCs w:val="24"/>
        </w:rPr>
        <w:t xml:space="preserve"> T4</w:t>
      </w:r>
      <w:r>
        <w:rPr>
          <w:rFonts w:cs="Arial"/>
          <w:szCs w:val="24"/>
        </w:rPr>
        <w:t xml:space="preserve"> v séru</w:t>
      </w:r>
      <w:r w:rsidRPr="00BE5A94">
        <w:rPr>
          <w:rFonts w:cs="Arial"/>
          <w:szCs w:val="24"/>
        </w:rPr>
        <w:t xml:space="preserve">. V každém z doporučených intervalů monitorování by měla být dávka titrována tak, aby byla účinná podle celkového T4 a podle klinické odpovědi na léčbu. Běžné úpravy dávky by měly být prováděny v krocích po 2,5 mg </w:t>
      </w:r>
      <w:proofErr w:type="spellStart"/>
      <w:r w:rsidRPr="00BE5A94">
        <w:rPr>
          <w:rFonts w:cs="Arial"/>
          <w:szCs w:val="24"/>
        </w:rPr>
        <w:t>thiamazolu</w:t>
      </w:r>
      <w:proofErr w:type="spellEnd"/>
      <w:r w:rsidRPr="00BE5A94">
        <w:rPr>
          <w:rFonts w:cs="Arial"/>
          <w:szCs w:val="24"/>
        </w:rPr>
        <w:t xml:space="preserve"> (0,25 ml přípravku) a cílem by mělo být dosažení nejnižšího možného dávkování. U koček</w:t>
      </w:r>
      <w:r>
        <w:rPr>
          <w:rFonts w:cs="Arial"/>
          <w:szCs w:val="24"/>
        </w:rPr>
        <w:t xml:space="preserve">, kde jsou nutné </w:t>
      </w:r>
      <w:r w:rsidRPr="00BE5A94">
        <w:rPr>
          <w:rFonts w:cs="Arial"/>
          <w:szCs w:val="24"/>
        </w:rPr>
        <w:t>zvláště malé úpravy dávky</w:t>
      </w:r>
      <w:r>
        <w:rPr>
          <w:rFonts w:cs="Arial"/>
          <w:szCs w:val="24"/>
        </w:rPr>
        <w:t>,</w:t>
      </w:r>
      <w:r w:rsidRPr="00BE5A94">
        <w:rPr>
          <w:rFonts w:cs="Arial"/>
          <w:szCs w:val="24"/>
        </w:rPr>
        <w:t xml:space="preserve"> lze použít kroky po 1,25 mg </w:t>
      </w:r>
      <w:proofErr w:type="spellStart"/>
      <w:r w:rsidRPr="00BE5A94">
        <w:rPr>
          <w:rFonts w:cs="Arial"/>
          <w:szCs w:val="24"/>
        </w:rPr>
        <w:t>thiamazolu</w:t>
      </w:r>
      <w:proofErr w:type="spellEnd"/>
      <w:r w:rsidRPr="00BE5A94">
        <w:rPr>
          <w:rFonts w:cs="Arial"/>
          <w:szCs w:val="24"/>
        </w:rPr>
        <w:t xml:space="preserve"> (0,125 ml přípravku). Pokud celková koncentrace T4 klesne pod spodní konec referenčního intervalu, a zejména pokud kočka vykazuje klinické příznaky </w:t>
      </w:r>
      <w:proofErr w:type="spellStart"/>
      <w:r w:rsidRPr="00BE5A94">
        <w:rPr>
          <w:rFonts w:cs="Arial"/>
          <w:szCs w:val="24"/>
        </w:rPr>
        <w:t>iatrogenní</w:t>
      </w:r>
      <w:proofErr w:type="spellEnd"/>
      <w:r w:rsidRPr="00BE5A94">
        <w:rPr>
          <w:rFonts w:cs="Arial"/>
          <w:szCs w:val="24"/>
        </w:rPr>
        <w:t xml:space="preserve"> hypotyreózy (např. </w:t>
      </w:r>
      <w:r>
        <w:rPr>
          <w:rFonts w:cs="Arial"/>
          <w:szCs w:val="24"/>
        </w:rPr>
        <w:t>l</w:t>
      </w:r>
      <w:r w:rsidRPr="00BE5A94">
        <w:rPr>
          <w:rFonts w:cs="Arial"/>
          <w:szCs w:val="24"/>
        </w:rPr>
        <w:t>etargie, nechutenství, přírůstek hmotnosti a/nebo dermatologické příznaky, jako je alopecie a suchá kůže), je třeba zvážit snížení denní dávky a/nebo frekvence dávkování.</w:t>
      </w:r>
    </w:p>
    <w:p w:rsidR="00836E22" w:rsidRPr="00BE5A94" w:rsidRDefault="00836E22" w:rsidP="00836E22">
      <w:pPr>
        <w:widowControl w:val="0"/>
        <w:rPr>
          <w:rFonts w:cs="Arial"/>
          <w:szCs w:val="24"/>
        </w:rPr>
      </w:pPr>
    </w:p>
    <w:p w:rsidR="00836E22" w:rsidRPr="00BE5A94" w:rsidRDefault="00836E22" w:rsidP="00D05ADF">
      <w:pPr>
        <w:widowControl w:val="0"/>
        <w:ind w:left="0" w:firstLine="0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Pokud je </w:t>
      </w:r>
      <w:r>
        <w:rPr>
          <w:rFonts w:cs="Arial"/>
          <w:szCs w:val="24"/>
        </w:rPr>
        <w:t>nutné dávkování vyšší</w:t>
      </w:r>
      <w:r w:rsidRPr="00BE5A94">
        <w:rPr>
          <w:rFonts w:cs="Arial"/>
          <w:szCs w:val="24"/>
        </w:rPr>
        <w:t xml:space="preserve"> než 10 mg </w:t>
      </w:r>
      <w:proofErr w:type="spellStart"/>
      <w:r w:rsidRPr="00BE5A94">
        <w:rPr>
          <w:rFonts w:cs="Arial"/>
          <w:szCs w:val="24"/>
        </w:rPr>
        <w:t>thiamazolu</w:t>
      </w:r>
      <w:proofErr w:type="spellEnd"/>
      <w:r w:rsidRPr="00BE5A94">
        <w:rPr>
          <w:rFonts w:cs="Arial"/>
          <w:szCs w:val="24"/>
        </w:rPr>
        <w:t xml:space="preserve"> denně, měla by být zvířata zvláště pečlivě sledována.</w:t>
      </w:r>
    </w:p>
    <w:p w:rsidR="00836E22" w:rsidRPr="00BE5A94" w:rsidRDefault="00836E22" w:rsidP="00836E22">
      <w:pPr>
        <w:widowControl w:val="0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Podaná dávka by neměla přesáhnout 20 mg </w:t>
      </w:r>
      <w:proofErr w:type="spellStart"/>
      <w:r w:rsidRPr="00BE5A94">
        <w:rPr>
          <w:rFonts w:cs="Arial"/>
          <w:szCs w:val="24"/>
        </w:rPr>
        <w:t>thiamazolu</w:t>
      </w:r>
      <w:proofErr w:type="spellEnd"/>
      <w:r w:rsidRPr="00BE5A94">
        <w:rPr>
          <w:rFonts w:cs="Arial"/>
          <w:szCs w:val="24"/>
        </w:rPr>
        <w:t xml:space="preserve"> denně.</w:t>
      </w:r>
    </w:p>
    <w:p w:rsidR="00836E22" w:rsidRPr="00BE5A94" w:rsidRDefault="00836E22" w:rsidP="00836E22">
      <w:pPr>
        <w:widowControl w:val="0"/>
        <w:rPr>
          <w:rFonts w:cs="Arial"/>
          <w:szCs w:val="24"/>
        </w:rPr>
      </w:pPr>
    </w:p>
    <w:p w:rsidR="00836E22" w:rsidRPr="00BE5A94" w:rsidRDefault="00836E22" w:rsidP="00836E22">
      <w:pPr>
        <w:widowControl w:val="0"/>
        <w:rPr>
          <w:rFonts w:cs="Arial"/>
          <w:szCs w:val="24"/>
        </w:rPr>
      </w:pPr>
      <w:r w:rsidRPr="00BE5A94">
        <w:rPr>
          <w:rFonts w:cs="Arial"/>
          <w:szCs w:val="24"/>
        </w:rPr>
        <w:t>Při dlouhodobé léčbě hypertyreózy by mělo být zvíře léčeno po celý život.</w:t>
      </w:r>
    </w:p>
    <w:p w:rsidR="00836E22" w:rsidRPr="00BE5A94" w:rsidRDefault="00836E22" w:rsidP="00836E22">
      <w:pPr>
        <w:widowControl w:val="0"/>
        <w:rPr>
          <w:rFonts w:cs="Arial"/>
          <w:szCs w:val="24"/>
          <w:highlight w:val="yellow"/>
        </w:rPr>
      </w:pPr>
    </w:p>
    <w:p w:rsidR="00836E22" w:rsidRPr="00BE5A94" w:rsidRDefault="00836E22" w:rsidP="00836E22">
      <w:pPr>
        <w:rPr>
          <w:b/>
          <w:bCs/>
          <w:szCs w:val="22"/>
        </w:rPr>
      </w:pPr>
      <w:r w:rsidRPr="00BE5A94">
        <w:rPr>
          <w:b/>
          <w:bCs/>
          <w:szCs w:val="22"/>
        </w:rPr>
        <w:t>4.10</w:t>
      </w:r>
      <w:r w:rsidRPr="00BE5A94">
        <w:rPr>
          <w:b/>
          <w:bCs/>
          <w:szCs w:val="22"/>
        </w:rPr>
        <w:tab/>
        <w:t xml:space="preserve">Předávkování (symptomy, první pomoc, </w:t>
      </w:r>
      <w:r>
        <w:rPr>
          <w:b/>
          <w:bCs/>
          <w:szCs w:val="22"/>
        </w:rPr>
        <w:t>protijedy</w:t>
      </w:r>
      <w:r w:rsidRPr="00BE5A94">
        <w:rPr>
          <w:b/>
          <w:bCs/>
          <w:szCs w:val="22"/>
        </w:rPr>
        <w:t>), pokud je to nutné</w:t>
      </w:r>
    </w:p>
    <w:p w:rsidR="00836E22" w:rsidRPr="00BE5A94" w:rsidRDefault="00836E22" w:rsidP="00836E22">
      <w:pPr>
        <w:rPr>
          <w:b/>
          <w:bCs/>
          <w:szCs w:val="22"/>
        </w:rPr>
      </w:pPr>
    </w:p>
    <w:p w:rsidR="00836E22" w:rsidRPr="00BE5A94" w:rsidRDefault="00836E22" w:rsidP="00D05ADF">
      <w:pPr>
        <w:ind w:left="0" w:firstLine="0"/>
        <w:jc w:val="both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Ve studiích </w:t>
      </w:r>
      <w:r w:rsidRPr="00C71133">
        <w:rPr>
          <w:rFonts w:cs="Arial"/>
          <w:szCs w:val="24"/>
        </w:rPr>
        <w:t xml:space="preserve">snášenlivosti </w:t>
      </w:r>
      <w:r w:rsidRPr="00BE5A94">
        <w:rPr>
          <w:rFonts w:cs="Arial"/>
          <w:szCs w:val="24"/>
        </w:rPr>
        <w:t xml:space="preserve">u mladých zdravých koček se při dávkách </w:t>
      </w:r>
      <w:r>
        <w:rPr>
          <w:rFonts w:cs="Arial"/>
          <w:szCs w:val="24"/>
        </w:rPr>
        <w:t>až</w:t>
      </w:r>
      <w:r w:rsidRPr="00BE5A94">
        <w:rPr>
          <w:rFonts w:cs="Arial"/>
          <w:szCs w:val="24"/>
        </w:rPr>
        <w:t xml:space="preserve"> 30 mg </w:t>
      </w:r>
      <w:proofErr w:type="spellStart"/>
      <w:r w:rsidRPr="00BE5A94">
        <w:rPr>
          <w:rFonts w:cs="Arial"/>
          <w:szCs w:val="24"/>
        </w:rPr>
        <w:t>thiamazolu</w:t>
      </w:r>
      <w:proofErr w:type="spellEnd"/>
      <w:r w:rsidRPr="00BE5A94">
        <w:rPr>
          <w:rFonts w:cs="Arial"/>
          <w:szCs w:val="24"/>
        </w:rPr>
        <w:t xml:space="preserve"> na zvíře na den vyskytly následující klinické příznaky související s dávkou: anorexie, zvracení, letargie, svědění a hematologické a biochemické </w:t>
      </w:r>
      <w:r>
        <w:rPr>
          <w:rFonts w:cs="Arial"/>
          <w:szCs w:val="24"/>
        </w:rPr>
        <w:t>odchylky</w:t>
      </w:r>
      <w:r w:rsidRPr="00BE5A94">
        <w:rPr>
          <w:rFonts w:cs="Arial"/>
          <w:szCs w:val="24"/>
        </w:rPr>
        <w:t xml:space="preserve">, jako je </w:t>
      </w:r>
      <w:proofErr w:type="spellStart"/>
      <w:r w:rsidRPr="00BE5A94">
        <w:rPr>
          <w:rFonts w:cs="Arial"/>
          <w:szCs w:val="24"/>
        </w:rPr>
        <w:t>neutropenie</w:t>
      </w:r>
      <w:proofErr w:type="spellEnd"/>
      <w:r w:rsidRPr="00BE5A94">
        <w:rPr>
          <w:rFonts w:cs="Arial"/>
          <w:szCs w:val="24"/>
        </w:rPr>
        <w:t xml:space="preserve">, lymfopenie, snížený sérový draslík a hladiny fosforu, zvýšené hladiny hořčíku a kreatininu a výskyt </w:t>
      </w:r>
      <w:proofErr w:type="spellStart"/>
      <w:r w:rsidRPr="00A47113">
        <w:rPr>
          <w:rFonts w:cs="Arial"/>
          <w:szCs w:val="24"/>
        </w:rPr>
        <w:t>antinukleárních</w:t>
      </w:r>
      <w:proofErr w:type="spellEnd"/>
      <w:r w:rsidRPr="00A47113">
        <w:rPr>
          <w:rFonts w:cs="Arial"/>
          <w:szCs w:val="24"/>
        </w:rPr>
        <w:t xml:space="preserve"> </w:t>
      </w:r>
      <w:r w:rsidRPr="00BE5A94">
        <w:rPr>
          <w:rFonts w:cs="Arial"/>
          <w:szCs w:val="24"/>
        </w:rPr>
        <w:t xml:space="preserve">protilátek. Při dávce 30 mg </w:t>
      </w:r>
      <w:proofErr w:type="spellStart"/>
      <w:r w:rsidRPr="00BE5A94">
        <w:rPr>
          <w:rFonts w:cs="Arial"/>
          <w:szCs w:val="24"/>
        </w:rPr>
        <w:t>thiamazolu</w:t>
      </w:r>
      <w:proofErr w:type="spellEnd"/>
      <w:r w:rsidRPr="00BE5A94">
        <w:rPr>
          <w:rFonts w:cs="Arial"/>
          <w:szCs w:val="24"/>
        </w:rPr>
        <w:t xml:space="preserve"> na den vykazovaly některé kočky známky hemolytické anémie a závažného zhoršení klinického</w:t>
      </w:r>
      <w:r>
        <w:rPr>
          <w:rFonts w:cs="Arial"/>
          <w:szCs w:val="24"/>
        </w:rPr>
        <w:t xml:space="preserve"> stavu</w:t>
      </w:r>
      <w:r w:rsidRPr="00BE5A94">
        <w:rPr>
          <w:rFonts w:cs="Arial"/>
          <w:szCs w:val="24"/>
        </w:rPr>
        <w:t>. Některé z těchto příznaků se mohou objevit také u </w:t>
      </w:r>
      <w:proofErr w:type="spellStart"/>
      <w:r w:rsidRPr="00BE5A94">
        <w:rPr>
          <w:rFonts w:cs="Arial"/>
          <w:szCs w:val="24"/>
        </w:rPr>
        <w:t>hypertyreoidních</w:t>
      </w:r>
      <w:proofErr w:type="spellEnd"/>
      <w:r w:rsidRPr="00BE5A94">
        <w:rPr>
          <w:rFonts w:cs="Arial"/>
          <w:szCs w:val="24"/>
        </w:rPr>
        <w:t xml:space="preserve"> koček léčených dávkami do 20 mg </w:t>
      </w:r>
      <w:proofErr w:type="spellStart"/>
      <w:r w:rsidRPr="00BE5A94">
        <w:rPr>
          <w:rFonts w:cs="Arial"/>
          <w:szCs w:val="24"/>
        </w:rPr>
        <w:t>thiamazolu</w:t>
      </w:r>
      <w:proofErr w:type="spellEnd"/>
      <w:r w:rsidRPr="00BE5A94">
        <w:rPr>
          <w:rFonts w:cs="Arial"/>
          <w:szCs w:val="24"/>
        </w:rPr>
        <w:t xml:space="preserve"> na den.</w:t>
      </w:r>
    </w:p>
    <w:p w:rsidR="00836E22" w:rsidRPr="00BE5A94" w:rsidRDefault="00836E22" w:rsidP="00D05ADF">
      <w:pPr>
        <w:ind w:left="0" w:firstLine="0"/>
        <w:jc w:val="both"/>
        <w:rPr>
          <w:rFonts w:cs="Arial"/>
          <w:szCs w:val="24"/>
        </w:rPr>
      </w:pPr>
      <w:r w:rsidRPr="00BE5A94">
        <w:rPr>
          <w:rFonts w:cs="Arial"/>
          <w:szCs w:val="24"/>
        </w:rPr>
        <w:lastRenderedPageBreak/>
        <w:t>Nadměrné dávky u hypertyreózních koček mohou vést ke známkám hypotyreózy. Je to však nepravděpodobné, protože hypotyreóza je obvykle korigována mechanismy negativní zpětné vazby. Viz bod 4.6: Nežádoucí účinky.</w:t>
      </w:r>
    </w:p>
    <w:p w:rsidR="00836E22" w:rsidRPr="00BE5A94" w:rsidRDefault="00836E22" w:rsidP="00836E22">
      <w:pPr>
        <w:tabs>
          <w:tab w:val="left" w:pos="720"/>
        </w:tabs>
        <w:jc w:val="both"/>
        <w:rPr>
          <w:rFonts w:cs="Arial"/>
          <w:szCs w:val="24"/>
        </w:rPr>
      </w:pPr>
      <w:r w:rsidRPr="00BE5A94">
        <w:rPr>
          <w:rFonts w:cs="Arial"/>
          <w:szCs w:val="24"/>
        </w:rPr>
        <w:t>Pokud dojde k předávkování, ukončete léčbu a poskytněte symptomatickou a podpůrnou péči.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4.11</w:t>
      </w:r>
      <w:r w:rsidRPr="00BE5A94">
        <w:rPr>
          <w:b/>
          <w:szCs w:val="22"/>
        </w:rPr>
        <w:tab/>
        <w:t>Ochranná</w:t>
      </w:r>
      <w:r>
        <w:rPr>
          <w:b/>
          <w:szCs w:val="22"/>
        </w:rPr>
        <w:t>(é)</w:t>
      </w:r>
      <w:r w:rsidRPr="00BE5A94">
        <w:rPr>
          <w:b/>
          <w:szCs w:val="22"/>
        </w:rPr>
        <w:t xml:space="preserve"> lhůta(y)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  <w:r>
        <w:rPr>
          <w:szCs w:val="22"/>
        </w:rPr>
        <w:t>Není určeno pro potravinová zvířata.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5.</w:t>
      </w:r>
      <w:r w:rsidRPr="00BE5A94">
        <w:rPr>
          <w:b/>
          <w:szCs w:val="22"/>
        </w:rPr>
        <w:tab/>
        <w:t>FARMAKOLOGICKÉ VLASTNOSTI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r w:rsidRPr="00BE5A94">
        <w:t xml:space="preserve">Farmakoterapeutická skupina: </w:t>
      </w:r>
      <w:proofErr w:type="spellStart"/>
      <w:r w:rsidRPr="00BE5A94">
        <w:t>antithyr</w:t>
      </w:r>
      <w:r>
        <w:t>e</w:t>
      </w:r>
      <w:r w:rsidRPr="00BE5A94">
        <w:t>oid</w:t>
      </w:r>
      <w:r>
        <w:t>ál</w:t>
      </w:r>
      <w:r w:rsidRPr="00BE5A94">
        <w:t>ní</w:t>
      </w:r>
      <w:proofErr w:type="spellEnd"/>
      <w:r>
        <w:t xml:space="preserve"> léčiva, </w:t>
      </w:r>
      <w:r w:rsidRPr="00BE5A94">
        <w:t>imidazolové deriváty obsahující síru.</w:t>
      </w:r>
    </w:p>
    <w:p w:rsidR="00836E22" w:rsidRPr="00BE5A94" w:rsidRDefault="00836E22" w:rsidP="00836E22">
      <w:pPr>
        <w:tabs>
          <w:tab w:val="left" w:pos="720"/>
        </w:tabs>
        <w:ind w:left="720" w:hanging="720"/>
      </w:pPr>
      <w:proofErr w:type="spellStart"/>
      <w:r w:rsidRPr="00BE5A94">
        <w:t>ATCvet</w:t>
      </w:r>
      <w:proofErr w:type="spellEnd"/>
      <w:r w:rsidRPr="00BE5A94">
        <w:t xml:space="preserve"> kód: QH03BB02.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5.1</w:t>
      </w:r>
      <w:r w:rsidRPr="00BE5A94">
        <w:rPr>
          <w:b/>
          <w:szCs w:val="22"/>
        </w:rPr>
        <w:tab/>
        <w:t>Farmakodynamické vlastnosti</w:t>
      </w:r>
    </w:p>
    <w:p w:rsidR="00836E22" w:rsidRPr="00BE5A94" w:rsidRDefault="00836E22" w:rsidP="00836E22">
      <w:pPr>
        <w:rPr>
          <w:b/>
          <w:szCs w:val="22"/>
        </w:rPr>
      </w:pPr>
    </w:p>
    <w:p w:rsidR="00836E22" w:rsidRPr="00BE5A94" w:rsidRDefault="00836E22" w:rsidP="00D05ADF">
      <w:pPr>
        <w:ind w:left="0" w:firstLine="0"/>
        <w:jc w:val="both"/>
        <w:rPr>
          <w:rFonts w:cs="Arial"/>
          <w:szCs w:val="24"/>
        </w:rPr>
      </w:pPr>
      <w:proofErr w:type="spellStart"/>
      <w:r w:rsidRPr="00BE5A94">
        <w:rPr>
          <w:rFonts w:cs="Arial"/>
          <w:szCs w:val="24"/>
        </w:rPr>
        <w:t>Thiamazol</w:t>
      </w:r>
      <w:proofErr w:type="spellEnd"/>
      <w:r w:rsidRPr="00BE5A94">
        <w:rPr>
          <w:rFonts w:cs="Arial"/>
          <w:szCs w:val="24"/>
        </w:rPr>
        <w:t xml:space="preserve"> působí </w:t>
      </w:r>
      <w:r w:rsidRPr="00BE5A94">
        <w:rPr>
          <w:rFonts w:cs="Arial"/>
          <w:i/>
          <w:szCs w:val="24"/>
        </w:rPr>
        <w:t xml:space="preserve">in </w:t>
      </w:r>
      <w:proofErr w:type="spellStart"/>
      <w:r w:rsidRPr="00BE5A94">
        <w:rPr>
          <w:rFonts w:cs="Arial"/>
          <w:i/>
          <w:szCs w:val="24"/>
        </w:rPr>
        <w:t>vivo</w:t>
      </w:r>
      <w:proofErr w:type="spellEnd"/>
      <w:r w:rsidRPr="00BE5A94">
        <w:rPr>
          <w:rFonts w:cs="Arial"/>
          <w:szCs w:val="24"/>
        </w:rPr>
        <w:t xml:space="preserve"> blokováním biosyntézy hormonu štítné žlázy. Primárním účinkem je inhibice vazby jodidu na enzym peroxidázu</w:t>
      </w:r>
      <w:r>
        <w:rPr>
          <w:rFonts w:cs="Arial"/>
          <w:szCs w:val="24"/>
        </w:rPr>
        <w:t xml:space="preserve"> štítné žlázy</w:t>
      </w:r>
      <w:r w:rsidRPr="00BE5A94">
        <w:rPr>
          <w:rFonts w:cs="Arial"/>
          <w:szCs w:val="24"/>
        </w:rPr>
        <w:t xml:space="preserve">, čímž se zabrání </w:t>
      </w:r>
      <w:r w:rsidRPr="005659FC">
        <w:rPr>
          <w:rFonts w:cs="Arial"/>
          <w:szCs w:val="24"/>
        </w:rPr>
        <w:t xml:space="preserve">katalytické </w:t>
      </w:r>
      <w:proofErr w:type="spellStart"/>
      <w:r w:rsidRPr="00BE5A94">
        <w:rPr>
          <w:rFonts w:cs="Arial"/>
          <w:szCs w:val="24"/>
        </w:rPr>
        <w:t>jodaci</w:t>
      </w:r>
      <w:proofErr w:type="spellEnd"/>
      <w:r w:rsidRPr="00BE5A94">
        <w:rPr>
          <w:rFonts w:cs="Arial"/>
          <w:szCs w:val="24"/>
        </w:rPr>
        <w:t xml:space="preserve"> </w:t>
      </w:r>
      <w:proofErr w:type="spellStart"/>
      <w:r w:rsidRPr="00BE5A94">
        <w:rPr>
          <w:rFonts w:cs="Arial"/>
          <w:szCs w:val="24"/>
        </w:rPr>
        <w:t>thyroglobulinu</w:t>
      </w:r>
      <w:proofErr w:type="spellEnd"/>
      <w:r w:rsidRPr="00BE5A94">
        <w:rPr>
          <w:rFonts w:cs="Arial"/>
          <w:szCs w:val="24"/>
        </w:rPr>
        <w:t xml:space="preserve"> a syntéze T3 a T4.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5.2</w:t>
      </w:r>
      <w:r w:rsidRPr="00BE5A94">
        <w:rPr>
          <w:b/>
          <w:szCs w:val="22"/>
        </w:rPr>
        <w:tab/>
        <w:t>Farmakokinetické údaje</w:t>
      </w:r>
    </w:p>
    <w:p w:rsidR="00836E22" w:rsidRPr="00BE5A94" w:rsidRDefault="00836E22" w:rsidP="00836E22">
      <w:pPr>
        <w:pStyle w:val="Zkladntext3"/>
        <w:rPr>
          <w:b w:val="0"/>
          <w:szCs w:val="24"/>
        </w:rPr>
      </w:pPr>
    </w:p>
    <w:p w:rsidR="00836E22" w:rsidRPr="00BE5A94" w:rsidRDefault="00836E22" w:rsidP="00D05ADF">
      <w:pPr>
        <w:ind w:left="0" w:firstLine="0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Po perorálním podání zdravým kočkám je </w:t>
      </w:r>
      <w:proofErr w:type="spellStart"/>
      <w:r w:rsidRPr="00BE5A94">
        <w:rPr>
          <w:rFonts w:cs="Arial"/>
          <w:szCs w:val="24"/>
        </w:rPr>
        <w:t>thiamazol</w:t>
      </w:r>
      <w:proofErr w:type="spellEnd"/>
      <w:r w:rsidRPr="00BE5A94">
        <w:rPr>
          <w:rFonts w:cs="Arial"/>
          <w:szCs w:val="24"/>
        </w:rPr>
        <w:t xml:space="preserve"> rychle a úplně absorbován s biologickou dostupností &gt;75 %.  Mezi zvířaty však existují značné rozdíly. Eliminace léčiva z  plazmy </w:t>
      </w:r>
      <w:r>
        <w:rPr>
          <w:rFonts w:cs="Arial"/>
          <w:szCs w:val="24"/>
        </w:rPr>
        <w:t xml:space="preserve">kočky </w:t>
      </w:r>
      <w:r w:rsidRPr="00BE5A94">
        <w:rPr>
          <w:rFonts w:cs="Arial"/>
          <w:szCs w:val="24"/>
        </w:rPr>
        <w:t xml:space="preserve">je rychlá s poločasem 2,6–7,1 hodin. </w:t>
      </w:r>
      <w:r>
        <w:rPr>
          <w:rFonts w:cs="Arial"/>
          <w:szCs w:val="24"/>
        </w:rPr>
        <w:t xml:space="preserve">Maximální hladiny v plazmě je </w:t>
      </w:r>
      <w:proofErr w:type="gramStart"/>
      <w:r>
        <w:rPr>
          <w:rFonts w:cs="Arial"/>
          <w:szCs w:val="24"/>
        </w:rPr>
        <w:t xml:space="preserve">dosaženo </w:t>
      </w:r>
      <w:r w:rsidRPr="00BE5A94">
        <w:rPr>
          <w:rFonts w:cs="Arial"/>
          <w:szCs w:val="24"/>
        </w:rPr>
        <w:t xml:space="preserve"> do</w:t>
      </w:r>
      <w:proofErr w:type="gramEnd"/>
      <w:r w:rsidRPr="00BE5A94">
        <w:rPr>
          <w:rFonts w:cs="Arial"/>
          <w:szCs w:val="24"/>
        </w:rPr>
        <w:t xml:space="preserve"> 1 hodiny po podání. </w:t>
      </w:r>
      <w:proofErr w:type="spellStart"/>
      <w:r w:rsidRPr="00BE5A94">
        <w:rPr>
          <w:rFonts w:cs="Arial"/>
          <w:szCs w:val="24"/>
        </w:rPr>
        <w:t>C</w:t>
      </w:r>
      <w:r w:rsidRPr="00BE5A94">
        <w:rPr>
          <w:rFonts w:cs="Arial"/>
          <w:szCs w:val="24"/>
          <w:vertAlign w:val="subscript"/>
        </w:rPr>
        <w:t>max</w:t>
      </w:r>
      <w:proofErr w:type="spellEnd"/>
      <w:r w:rsidRPr="00BE5A94">
        <w:rPr>
          <w:rFonts w:cs="Arial"/>
          <w:szCs w:val="24"/>
        </w:rPr>
        <w:t xml:space="preserve"> je 1,6 ± 0,4 </w:t>
      </w:r>
      <w:proofErr w:type="spellStart"/>
      <w:r w:rsidRPr="00BE5A94">
        <w:rPr>
          <w:rFonts w:cs="Arial"/>
          <w:szCs w:val="24"/>
        </w:rPr>
        <w:t>μg</w:t>
      </w:r>
      <w:proofErr w:type="spellEnd"/>
      <w:r w:rsidRPr="00BE5A94">
        <w:rPr>
          <w:rFonts w:cs="Arial"/>
          <w:szCs w:val="24"/>
        </w:rPr>
        <w:t>/ml.</w:t>
      </w:r>
    </w:p>
    <w:p w:rsidR="00836E22" w:rsidRPr="00BE5A94" w:rsidRDefault="00836E22" w:rsidP="004320D0">
      <w:pPr>
        <w:pStyle w:val="Zkladntext3"/>
        <w:ind w:left="0" w:firstLine="0"/>
        <w:jc w:val="left"/>
        <w:rPr>
          <w:rFonts w:cs="Arial"/>
          <w:b w:val="0"/>
          <w:szCs w:val="24"/>
        </w:rPr>
      </w:pPr>
      <w:r w:rsidRPr="00BE5A94">
        <w:rPr>
          <w:rFonts w:cs="Arial"/>
          <w:b w:val="0"/>
          <w:szCs w:val="24"/>
        </w:rPr>
        <w:t xml:space="preserve">U potkanů bylo prokázáno, že </w:t>
      </w:r>
      <w:proofErr w:type="spellStart"/>
      <w:r w:rsidRPr="00BE5A94">
        <w:rPr>
          <w:rFonts w:cs="Arial"/>
          <w:b w:val="0"/>
          <w:szCs w:val="24"/>
        </w:rPr>
        <w:t>thiamazol</w:t>
      </w:r>
      <w:proofErr w:type="spellEnd"/>
      <w:r w:rsidRPr="00BE5A94">
        <w:rPr>
          <w:rFonts w:cs="Arial"/>
          <w:b w:val="0"/>
          <w:szCs w:val="24"/>
        </w:rPr>
        <w:t xml:space="preserve"> se </w:t>
      </w:r>
      <w:r>
        <w:rPr>
          <w:rFonts w:cs="Arial"/>
          <w:b w:val="0"/>
          <w:szCs w:val="24"/>
        </w:rPr>
        <w:t>jen slabě</w:t>
      </w:r>
      <w:r w:rsidRPr="00BE5A94">
        <w:rPr>
          <w:rFonts w:cs="Arial"/>
          <w:b w:val="0"/>
          <w:szCs w:val="24"/>
        </w:rPr>
        <w:t xml:space="preserve"> váže na plazmatick</w:t>
      </w:r>
      <w:r>
        <w:rPr>
          <w:rFonts w:cs="Arial"/>
          <w:b w:val="0"/>
          <w:szCs w:val="24"/>
        </w:rPr>
        <w:t>é bílkoviny</w:t>
      </w:r>
      <w:r w:rsidRPr="00BE5A94">
        <w:rPr>
          <w:rFonts w:cs="Arial"/>
          <w:b w:val="0"/>
          <w:szCs w:val="24"/>
        </w:rPr>
        <w:t xml:space="preserve"> (</w:t>
      </w:r>
      <w:proofErr w:type="gramStart"/>
      <w:r w:rsidRPr="00BE5A94">
        <w:rPr>
          <w:rFonts w:cs="Arial"/>
          <w:b w:val="0"/>
          <w:szCs w:val="24"/>
        </w:rPr>
        <w:t>5%</w:t>
      </w:r>
      <w:proofErr w:type="gramEnd"/>
      <w:r w:rsidRPr="00BE5A94">
        <w:rPr>
          <w:rFonts w:cs="Arial"/>
          <w:b w:val="0"/>
          <w:szCs w:val="24"/>
        </w:rPr>
        <w:t xml:space="preserve">); 40% bylo vázáno na červené krvinky. Metabolismus </w:t>
      </w:r>
      <w:proofErr w:type="spellStart"/>
      <w:r w:rsidRPr="00BE5A94">
        <w:rPr>
          <w:rFonts w:cs="Arial"/>
          <w:b w:val="0"/>
          <w:szCs w:val="24"/>
        </w:rPr>
        <w:t>thiamazolu</w:t>
      </w:r>
      <w:proofErr w:type="spellEnd"/>
      <w:r w:rsidRPr="00BE5A94">
        <w:rPr>
          <w:rFonts w:cs="Arial"/>
          <w:b w:val="0"/>
          <w:szCs w:val="24"/>
        </w:rPr>
        <w:t xml:space="preserve"> u koček nebyl zkoumán, u potkanů se však </w:t>
      </w:r>
      <w:proofErr w:type="spellStart"/>
      <w:r w:rsidRPr="00BE5A94">
        <w:rPr>
          <w:rFonts w:cs="Arial"/>
          <w:b w:val="0"/>
          <w:szCs w:val="24"/>
        </w:rPr>
        <w:t>thiamazol</w:t>
      </w:r>
      <w:proofErr w:type="spellEnd"/>
      <w:r w:rsidRPr="00BE5A94">
        <w:rPr>
          <w:rFonts w:cs="Arial"/>
          <w:b w:val="0"/>
          <w:szCs w:val="24"/>
        </w:rPr>
        <w:t xml:space="preserve"> metabolizuje rychle. U člověka a potkanů je známo, že léčiv</w:t>
      </w:r>
      <w:r>
        <w:rPr>
          <w:rFonts w:cs="Arial"/>
          <w:b w:val="0"/>
          <w:szCs w:val="24"/>
        </w:rPr>
        <w:t>o</w:t>
      </w:r>
      <w:r w:rsidRPr="00BE5A94">
        <w:rPr>
          <w:rFonts w:cs="Arial"/>
          <w:b w:val="0"/>
          <w:szCs w:val="24"/>
        </w:rPr>
        <w:t xml:space="preserve"> může procházet placentou a koncentruje se ve štítné žláze plodu. Existuje také vysoká míra přenosu do mateřského mléka.</w:t>
      </w:r>
    </w:p>
    <w:p w:rsidR="00836E22" w:rsidRPr="00BE5A94" w:rsidRDefault="00836E22" w:rsidP="00836E22">
      <w:pPr>
        <w:rPr>
          <w:rFonts w:cs="Arial"/>
          <w:szCs w:val="24"/>
          <w:highlight w:val="yellow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6.</w:t>
      </w:r>
      <w:r w:rsidRPr="00BE5A94">
        <w:rPr>
          <w:b/>
          <w:szCs w:val="22"/>
        </w:rPr>
        <w:tab/>
        <w:t>FARMACEUTICKÉ ÚDAJE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6.1</w:t>
      </w:r>
      <w:r w:rsidRPr="00BE5A94">
        <w:rPr>
          <w:b/>
          <w:szCs w:val="22"/>
        </w:rPr>
        <w:tab/>
        <w:t>Seznam pomocných látek</w:t>
      </w:r>
    </w:p>
    <w:p w:rsidR="00836E22" w:rsidRPr="00BE5A94" w:rsidRDefault="00836E22" w:rsidP="00836E22">
      <w:pPr>
        <w:rPr>
          <w:b/>
          <w:szCs w:val="22"/>
        </w:rPr>
      </w:pP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 xml:space="preserve">Glycerol                                                  </w:t>
      </w: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 xml:space="preserve">Sorbitol, kapalný (nekrystalizující)         </w:t>
      </w: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 xml:space="preserve">Vanilin                                                   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6.2</w:t>
      </w:r>
      <w:r w:rsidRPr="00BE5A94">
        <w:rPr>
          <w:b/>
          <w:szCs w:val="22"/>
        </w:rPr>
        <w:tab/>
        <w:t xml:space="preserve">Hlavní </w:t>
      </w:r>
      <w:r>
        <w:rPr>
          <w:b/>
          <w:szCs w:val="22"/>
        </w:rPr>
        <w:t>inkompatibility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4320D0">
      <w:pPr>
        <w:ind w:left="0" w:firstLine="0"/>
        <w:rPr>
          <w:szCs w:val="22"/>
        </w:rPr>
      </w:pPr>
      <w:r w:rsidRPr="008C230B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6.3</w:t>
      </w:r>
      <w:r w:rsidRPr="00BE5A94">
        <w:rPr>
          <w:b/>
          <w:szCs w:val="22"/>
        </w:rPr>
        <w:tab/>
        <w:t>Doba použitelnosti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>Doba použitelnosti veterinárního léčivého přípravku v neporušeném obalu: 2 roky.</w:t>
      </w: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 xml:space="preserve">Doba použitelnosti po prvním otevření vnitřního obalu: </w:t>
      </w:r>
      <w:r>
        <w:rPr>
          <w:szCs w:val="22"/>
        </w:rPr>
        <w:t>3</w:t>
      </w:r>
      <w:r w:rsidRPr="00BE5A94">
        <w:rPr>
          <w:szCs w:val="22"/>
        </w:rPr>
        <w:t xml:space="preserve"> měsíce</w:t>
      </w:r>
      <w:r>
        <w:rPr>
          <w:szCs w:val="22"/>
        </w:rPr>
        <w:t>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6.4</w:t>
      </w:r>
      <w:r w:rsidRPr="00BE5A94">
        <w:rPr>
          <w:b/>
          <w:szCs w:val="22"/>
        </w:rPr>
        <w:tab/>
        <w:t>Zvláštní opatření pro uchovávání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  <w:r w:rsidRPr="00BE5A94">
        <w:rPr>
          <w:szCs w:val="22"/>
        </w:rPr>
        <w:t>Uchovávejte v dobře uzavřené lahvičce.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keepNext/>
        <w:rPr>
          <w:b/>
          <w:szCs w:val="22"/>
        </w:rPr>
      </w:pPr>
      <w:r w:rsidRPr="00BE5A94">
        <w:rPr>
          <w:b/>
          <w:szCs w:val="22"/>
        </w:rPr>
        <w:lastRenderedPageBreak/>
        <w:t>6.5</w:t>
      </w:r>
      <w:r w:rsidRPr="00BE5A94">
        <w:rPr>
          <w:b/>
          <w:szCs w:val="22"/>
        </w:rPr>
        <w:tab/>
        <w:t>Druh a složení vnitřního obalu</w:t>
      </w:r>
    </w:p>
    <w:p w:rsidR="00836E22" w:rsidRPr="00BE5A94" w:rsidRDefault="00836E22" w:rsidP="00836E22">
      <w:pPr>
        <w:keepNext/>
        <w:rPr>
          <w:b/>
          <w:bCs/>
          <w:szCs w:val="22"/>
        </w:rPr>
      </w:pPr>
    </w:p>
    <w:p w:rsidR="00836E22" w:rsidRPr="00BE5A94" w:rsidRDefault="00836E22" w:rsidP="004320D0">
      <w:pPr>
        <w:spacing w:line="276" w:lineRule="auto"/>
        <w:ind w:left="0" w:firstLine="0"/>
        <w:jc w:val="both"/>
        <w:rPr>
          <w:szCs w:val="22"/>
        </w:rPr>
      </w:pPr>
      <w:r w:rsidRPr="00BE5A94">
        <w:rPr>
          <w:szCs w:val="22"/>
        </w:rPr>
        <w:t xml:space="preserve">30ml jantarová skleněná lahvička typu III s čirým bílým polypropylenovým </w:t>
      </w:r>
      <w:r w:rsidR="00D05ADF">
        <w:rPr>
          <w:szCs w:val="22"/>
        </w:rPr>
        <w:t xml:space="preserve">nebo polyethylenovým </w:t>
      </w:r>
      <w:r w:rsidRPr="00BE5A94">
        <w:rPr>
          <w:szCs w:val="22"/>
        </w:rPr>
        <w:t>adaptérem na stříkačku a dětským bezpečnostním bílým polypropylenovým šroubovacím uzávěrem. Tento léčivý přípravek je dodáván s čirou polypropylenovou perorální stříkačkou</w:t>
      </w:r>
      <w:r>
        <w:rPr>
          <w:szCs w:val="22"/>
        </w:rPr>
        <w:t xml:space="preserve"> </w:t>
      </w:r>
      <w:r w:rsidRPr="00BE5A94">
        <w:rPr>
          <w:szCs w:val="22"/>
        </w:rPr>
        <w:t xml:space="preserve">s 1,0ml dávkovacím zařízením s odstupňováním po 1,25 mg </w:t>
      </w:r>
      <w:r>
        <w:rPr>
          <w:szCs w:val="22"/>
        </w:rPr>
        <w:t xml:space="preserve">až </w:t>
      </w:r>
      <w:r w:rsidRPr="00BE5A94">
        <w:rPr>
          <w:szCs w:val="22"/>
        </w:rPr>
        <w:t xml:space="preserve">do 10 mg </w:t>
      </w:r>
      <w:proofErr w:type="spellStart"/>
      <w:r w:rsidRPr="00BE5A94">
        <w:rPr>
          <w:szCs w:val="22"/>
        </w:rPr>
        <w:t>thiamazolu</w:t>
      </w:r>
      <w:proofErr w:type="spellEnd"/>
      <w:r w:rsidRPr="00BE5A94">
        <w:rPr>
          <w:szCs w:val="22"/>
        </w:rPr>
        <w:t>.</w:t>
      </w:r>
    </w:p>
    <w:p w:rsidR="00836E22" w:rsidRPr="00BE5A94" w:rsidRDefault="00836E22" w:rsidP="00836E22">
      <w:pPr>
        <w:spacing w:line="276" w:lineRule="auto"/>
        <w:jc w:val="both"/>
        <w:rPr>
          <w:szCs w:val="22"/>
        </w:rPr>
      </w:pPr>
    </w:p>
    <w:p w:rsidR="00836E22" w:rsidRPr="00BE5A94" w:rsidRDefault="00836E22" w:rsidP="00836E22">
      <w:pPr>
        <w:spacing w:line="276" w:lineRule="auto"/>
        <w:jc w:val="both"/>
        <w:rPr>
          <w:szCs w:val="22"/>
          <w:u w:val="single"/>
        </w:rPr>
      </w:pPr>
      <w:r w:rsidRPr="00BE5A94">
        <w:rPr>
          <w:szCs w:val="22"/>
          <w:u w:val="single"/>
        </w:rPr>
        <w:t>Velikost balení:</w:t>
      </w:r>
    </w:p>
    <w:p w:rsidR="00836E22" w:rsidRPr="003F47E6" w:rsidRDefault="00836E22" w:rsidP="00836E22">
      <w:pPr>
        <w:spacing w:line="276" w:lineRule="auto"/>
        <w:jc w:val="both"/>
        <w:rPr>
          <w:szCs w:val="22"/>
        </w:rPr>
      </w:pPr>
      <w:r w:rsidRPr="003F47E6">
        <w:rPr>
          <w:szCs w:val="22"/>
        </w:rPr>
        <w:t xml:space="preserve">Kartonová krabička s jednou 30ml lahvičkou a 1,0ml perorální stříkačkou jako dávkovacím zařízením. 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6.6</w:t>
      </w:r>
      <w:r w:rsidRPr="00BE5A94">
        <w:rPr>
          <w:b/>
          <w:szCs w:val="22"/>
        </w:rPr>
        <w:tab/>
        <w:t>Zvláštní opatření pro zneškodňování nepoužitého veterinárního léčivého přípravku nebo odpadu, který pochází z tohoto přípravku</w:t>
      </w:r>
    </w:p>
    <w:p w:rsidR="00836E22" w:rsidRPr="00BE5A94" w:rsidRDefault="00836E22" w:rsidP="00836E22">
      <w:pPr>
        <w:ind w:firstLine="567"/>
        <w:rPr>
          <w:szCs w:val="22"/>
        </w:rPr>
      </w:pPr>
    </w:p>
    <w:p w:rsidR="00836E22" w:rsidRPr="00BE5A94" w:rsidRDefault="00836E22" w:rsidP="004320D0">
      <w:pPr>
        <w:ind w:left="0" w:right="-318" w:firstLine="0"/>
        <w:rPr>
          <w:rFonts w:cs="Arial"/>
          <w:szCs w:val="24"/>
        </w:rPr>
      </w:pPr>
      <w:r w:rsidRPr="00BE5A94">
        <w:rPr>
          <w:rFonts w:cs="Arial"/>
          <w:szCs w:val="24"/>
        </w:rPr>
        <w:t xml:space="preserve">Všechen nepoužitý veterinární léčivý přípravek nebo odpad, který pochází z tohoto přípravku, musí být likvidován podle místních právních předpisů. 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7.</w:t>
      </w:r>
      <w:r w:rsidRPr="00BE5A94">
        <w:rPr>
          <w:b/>
          <w:szCs w:val="22"/>
        </w:rPr>
        <w:tab/>
        <w:t>DRŽITEL ROZHODNUTÍ O REGISTRACI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autoSpaceDE w:val="0"/>
        <w:autoSpaceDN w:val="0"/>
        <w:adjustRightInd w:val="0"/>
        <w:rPr>
          <w:szCs w:val="22"/>
          <w:lang w:eastAsia="en-GB"/>
        </w:rPr>
      </w:pPr>
      <w:proofErr w:type="spellStart"/>
      <w:r w:rsidRPr="00BE5A94">
        <w:rPr>
          <w:szCs w:val="22"/>
          <w:lang w:eastAsia="en-GB"/>
        </w:rPr>
        <w:t>Ecuphar</w:t>
      </w:r>
      <w:proofErr w:type="spellEnd"/>
      <w:r w:rsidRPr="00BE5A94">
        <w:rPr>
          <w:szCs w:val="22"/>
          <w:lang w:eastAsia="en-GB"/>
        </w:rPr>
        <w:t xml:space="preserve"> NV,</w:t>
      </w:r>
    </w:p>
    <w:p w:rsidR="00836E22" w:rsidRPr="00BE5A94" w:rsidRDefault="00836E22" w:rsidP="00836E22">
      <w:pPr>
        <w:autoSpaceDE w:val="0"/>
        <w:autoSpaceDN w:val="0"/>
        <w:adjustRightInd w:val="0"/>
        <w:rPr>
          <w:szCs w:val="22"/>
          <w:lang w:eastAsia="en-GB"/>
        </w:rPr>
      </w:pPr>
      <w:proofErr w:type="spellStart"/>
      <w:r w:rsidRPr="00BE5A94">
        <w:rPr>
          <w:szCs w:val="22"/>
          <w:lang w:eastAsia="en-GB"/>
        </w:rPr>
        <w:t>Legeweg</w:t>
      </w:r>
      <w:proofErr w:type="spellEnd"/>
      <w:r w:rsidRPr="00BE5A94">
        <w:rPr>
          <w:szCs w:val="22"/>
          <w:lang w:eastAsia="en-GB"/>
        </w:rPr>
        <w:t xml:space="preserve"> </w:t>
      </w:r>
      <w:proofErr w:type="gramStart"/>
      <w:r w:rsidRPr="00BE5A94">
        <w:rPr>
          <w:szCs w:val="22"/>
          <w:lang w:eastAsia="en-GB"/>
        </w:rPr>
        <w:t>157-i</w:t>
      </w:r>
      <w:proofErr w:type="gramEnd"/>
    </w:p>
    <w:p w:rsidR="00836E22" w:rsidRPr="00BE5A94" w:rsidRDefault="00836E22" w:rsidP="00836E22">
      <w:pPr>
        <w:autoSpaceDE w:val="0"/>
        <w:autoSpaceDN w:val="0"/>
        <w:adjustRightInd w:val="0"/>
        <w:rPr>
          <w:szCs w:val="22"/>
          <w:lang w:eastAsia="en-GB"/>
        </w:rPr>
      </w:pPr>
      <w:r w:rsidRPr="00BE5A94">
        <w:rPr>
          <w:szCs w:val="22"/>
          <w:lang w:eastAsia="en-GB"/>
        </w:rPr>
        <w:t>B-8020</w:t>
      </w:r>
    </w:p>
    <w:p w:rsidR="00836E22" w:rsidRPr="00BE5A94" w:rsidRDefault="00836E22" w:rsidP="00836E22">
      <w:pPr>
        <w:autoSpaceDE w:val="0"/>
        <w:autoSpaceDN w:val="0"/>
        <w:adjustRightInd w:val="0"/>
        <w:rPr>
          <w:szCs w:val="22"/>
          <w:lang w:eastAsia="en-GB"/>
        </w:rPr>
      </w:pPr>
      <w:proofErr w:type="spellStart"/>
      <w:r w:rsidRPr="00BE5A94">
        <w:rPr>
          <w:szCs w:val="22"/>
          <w:lang w:eastAsia="en-GB"/>
        </w:rPr>
        <w:t>Oostkamp</w:t>
      </w:r>
      <w:proofErr w:type="spellEnd"/>
    </w:p>
    <w:p w:rsidR="00836E22" w:rsidRPr="00BE5A94" w:rsidRDefault="00836E22" w:rsidP="00836E22">
      <w:pPr>
        <w:rPr>
          <w:szCs w:val="22"/>
          <w:lang w:eastAsia="en-GB"/>
        </w:rPr>
      </w:pPr>
      <w:r w:rsidRPr="00BE5A94">
        <w:rPr>
          <w:szCs w:val="22"/>
          <w:lang w:eastAsia="en-GB"/>
        </w:rPr>
        <w:t>Belgie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8.</w:t>
      </w:r>
      <w:r w:rsidRPr="00BE5A94">
        <w:rPr>
          <w:b/>
          <w:szCs w:val="22"/>
        </w:rPr>
        <w:tab/>
        <w:t>REGISTRAČNÍ ČÍSLO</w:t>
      </w:r>
      <w:r>
        <w:rPr>
          <w:b/>
          <w:szCs w:val="22"/>
        </w:rPr>
        <w:t xml:space="preserve"> </w:t>
      </w:r>
      <w:r w:rsidRPr="00BE5A94">
        <w:rPr>
          <w:b/>
          <w:szCs w:val="22"/>
        </w:rPr>
        <w:t>(</w:t>
      </w:r>
      <w:r>
        <w:rPr>
          <w:b/>
          <w:szCs w:val="22"/>
        </w:rPr>
        <w:t>ČÍSL</w:t>
      </w:r>
      <w:r w:rsidRPr="00BE5A94">
        <w:rPr>
          <w:b/>
          <w:szCs w:val="22"/>
        </w:rPr>
        <w:t>A)</w:t>
      </w:r>
    </w:p>
    <w:p w:rsidR="00836E22" w:rsidRDefault="00836E22" w:rsidP="00836E22">
      <w:pPr>
        <w:rPr>
          <w:szCs w:val="22"/>
        </w:rPr>
      </w:pPr>
    </w:p>
    <w:p w:rsidR="00836E22" w:rsidRDefault="00836E22" w:rsidP="00836E22">
      <w:pPr>
        <w:rPr>
          <w:szCs w:val="22"/>
        </w:rPr>
      </w:pPr>
      <w:r w:rsidRPr="006C6BD2">
        <w:rPr>
          <w:szCs w:val="22"/>
        </w:rPr>
        <w:t>96/031/20-C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9.</w:t>
      </w:r>
      <w:r w:rsidRPr="00BE5A94">
        <w:rPr>
          <w:b/>
          <w:szCs w:val="22"/>
        </w:rPr>
        <w:tab/>
        <w:t>DATUM REGISTRACE/ PRODLOUŽENÍ REGISTRACE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  <w:r>
        <w:rPr>
          <w:szCs w:val="22"/>
        </w:rPr>
        <w:t>6. 4. 2020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b/>
          <w:szCs w:val="22"/>
        </w:rPr>
      </w:pPr>
      <w:r w:rsidRPr="00BE5A94">
        <w:rPr>
          <w:b/>
          <w:szCs w:val="22"/>
        </w:rPr>
        <w:t>10</w:t>
      </w:r>
      <w:r w:rsidRPr="00BE5A94">
        <w:rPr>
          <w:b/>
          <w:szCs w:val="22"/>
        </w:rPr>
        <w:tab/>
        <w:t>DATUM REVIZE TEXTU</w:t>
      </w:r>
    </w:p>
    <w:p w:rsidR="00836E22" w:rsidRPr="00BE5A94" w:rsidRDefault="00836E22" w:rsidP="00836E22">
      <w:pPr>
        <w:rPr>
          <w:szCs w:val="22"/>
        </w:rPr>
      </w:pPr>
    </w:p>
    <w:p w:rsidR="00836E22" w:rsidRDefault="006D5476" w:rsidP="00836E22">
      <w:pPr>
        <w:rPr>
          <w:szCs w:val="22"/>
        </w:rPr>
      </w:pPr>
      <w:r>
        <w:rPr>
          <w:szCs w:val="22"/>
        </w:rPr>
        <w:t xml:space="preserve">Říjen </w:t>
      </w:r>
      <w:r w:rsidR="00836E22">
        <w:rPr>
          <w:szCs w:val="22"/>
        </w:rPr>
        <w:t>202</w:t>
      </w:r>
      <w:r>
        <w:rPr>
          <w:szCs w:val="22"/>
        </w:rPr>
        <w:t>2</w:t>
      </w:r>
    </w:p>
    <w:p w:rsidR="00836E22" w:rsidRPr="00BE5A94" w:rsidRDefault="00836E22" w:rsidP="00836E22">
      <w:pPr>
        <w:rPr>
          <w:szCs w:val="22"/>
        </w:rPr>
      </w:pPr>
    </w:p>
    <w:p w:rsidR="00836E22" w:rsidRDefault="00836E22" w:rsidP="00836E22">
      <w:pPr>
        <w:rPr>
          <w:b/>
        </w:rPr>
      </w:pPr>
    </w:p>
    <w:p w:rsidR="00836E22" w:rsidRDefault="00836E22" w:rsidP="00836E22">
      <w:r>
        <w:rPr>
          <w:b/>
        </w:rPr>
        <w:t>DALŠÍ INFORMACE</w:t>
      </w:r>
    </w:p>
    <w:p w:rsidR="00836E22" w:rsidRDefault="00836E22" w:rsidP="00836E22">
      <w:pPr>
        <w:ind w:right="-318"/>
        <w:jc w:val="both"/>
      </w:pPr>
    </w:p>
    <w:p w:rsidR="00836E22" w:rsidRDefault="00836E22" w:rsidP="00836E22">
      <w:pPr>
        <w:ind w:right="-318"/>
      </w:pPr>
      <w:r>
        <w:t>Veterinární léčivý přípravek je vydáván pouze na předpis.</w:t>
      </w:r>
    </w:p>
    <w:p w:rsidR="00836E22" w:rsidRPr="00BE5A94" w:rsidRDefault="00836E22" w:rsidP="00836E22">
      <w:pPr>
        <w:rPr>
          <w:szCs w:val="22"/>
        </w:rPr>
      </w:pPr>
    </w:p>
    <w:p w:rsidR="00836E22" w:rsidRPr="00BE5A94" w:rsidRDefault="00836E22" w:rsidP="00836E22">
      <w:pPr>
        <w:rPr>
          <w:szCs w:val="22"/>
        </w:rPr>
      </w:pPr>
    </w:p>
    <w:p w:rsidR="00990659" w:rsidRDefault="00990659"/>
    <w:sectPr w:rsidR="00990659" w:rsidSect="0023064F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B8B" w:rsidRDefault="000E2B8B">
      <w:r>
        <w:separator/>
      </w:r>
    </w:p>
  </w:endnote>
  <w:endnote w:type="continuationSeparator" w:id="0">
    <w:p w:rsidR="000E2B8B" w:rsidRDefault="000E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A1161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836E2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A1161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836E2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B8B" w:rsidRDefault="000E2B8B">
      <w:r>
        <w:separator/>
      </w:r>
    </w:p>
  </w:footnote>
  <w:footnote w:type="continuationSeparator" w:id="0">
    <w:p w:rsidR="000E2B8B" w:rsidRDefault="000E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42235"/>
    <w:rsid w:val="000E2B8B"/>
    <w:rsid w:val="00217228"/>
    <w:rsid w:val="0023064F"/>
    <w:rsid w:val="002A0BAF"/>
    <w:rsid w:val="004320D0"/>
    <w:rsid w:val="004B7F6C"/>
    <w:rsid w:val="006D5476"/>
    <w:rsid w:val="00836E22"/>
    <w:rsid w:val="00990659"/>
    <w:rsid w:val="00A1161B"/>
    <w:rsid w:val="00A82534"/>
    <w:rsid w:val="00A90943"/>
    <w:rsid w:val="00AB3C40"/>
    <w:rsid w:val="00B25606"/>
    <w:rsid w:val="00D00C42"/>
    <w:rsid w:val="00D05ADF"/>
    <w:rsid w:val="00DF7F60"/>
    <w:rsid w:val="00E05F59"/>
    <w:rsid w:val="00E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7DC6E-37A7-40C5-AB6E-841347C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1769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Šťastná Hana</cp:lastModifiedBy>
  <cp:revision>6</cp:revision>
  <cp:lastPrinted>2022-10-21T05:26:00Z</cp:lastPrinted>
  <dcterms:created xsi:type="dcterms:W3CDTF">2022-10-11T14:09:00Z</dcterms:created>
  <dcterms:modified xsi:type="dcterms:W3CDTF">2022-10-21T05:26:00Z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