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0655C7" w:rsidRDefault="008E1CA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655C7">
        <w:rPr>
          <w:b/>
          <w:szCs w:val="22"/>
        </w:rPr>
        <w:t>PŘÍLOHA I</w:t>
      </w:r>
    </w:p>
    <w:p w14:paraId="50FE88E4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0655C7" w:rsidRDefault="008E1CA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655C7">
        <w:rPr>
          <w:b/>
          <w:szCs w:val="22"/>
        </w:rPr>
        <w:t>SOUHRN ÚDAJŮ O PŘÍPRAVKU</w:t>
      </w:r>
    </w:p>
    <w:p w14:paraId="70A64732" w14:textId="77777777" w:rsidR="00C114FF" w:rsidRPr="000655C7" w:rsidRDefault="008E1CA4" w:rsidP="00B13B6D">
      <w:pPr>
        <w:pStyle w:val="Style1"/>
      </w:pPr>
      <w:r w:rsidRPr="000655C7">
        <w:br w:type="page"/>
      </w:r>
      <w:r w:rsidRPr="000655C7">
        <w:lastRenderedPageBreak/>
        <w:t>1.</w:t>
      </w:r>
      <w:r w:rsidRPr="000655C7">
        <w:tab/>
        <w:t>NÁZEV VETERINÁRNÍHO LÉČIVÉHO PŘÍPRAVKU</w:t>
      </w:r>
    </w:p>
    <w:p w14:paraId="3606368F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00BAF5E9" w:rsidR="00C114FF" w:rsidRPr="000655C7" w:rsidRDefault="002342B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655C7">
        <w:t>Zodon</w:t>
      </w:r>
      <w:proofErr w:type="spellEnd"/>
      <w:r w:rsidRPr="000655C7">
        <w:t xml:space="preserve"> 88 mg žvýkací tablety pro psy</w:t>
      </w:r>
    </w:p>
    <w:p w14:paraId="7245778A" w14:textId="763847B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23E1BD" w14:textId="77777777" w:rsidR="00444FE1" w:rsidRPr="000655C7" w:rsidRDefault="00444F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0655C7" w:rsidRDefault="008E1CA4" w:rsidP="00B13B6D">
      <w:pPr>
        <w:pStyle w:val="Style1"/>
      </w:pPr>
      <w:r w:rsidRPr="000655C7">
        <w:t>2.</w:t>
      </w:r>
      <w:r w:rsidRPr="000655C7">
        <w:tab/>
        <w:t>KVALITATIVNÍ A KVANTITATIVNÍ SLOŽENÍ</w:t>
      </w:r>
    </w:p>
    <w:p w14:paraId="3EAF4F83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B4BFD3" w14:textId="00230639" w:rsidR="005745F1" w:rsidRPr="000655C7" w:rsidRDefault="005745F1" w:rsidP="00A9226B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Každá tableta obsahuje:</w:t>
      </w:r>
    </w:p>
    <w:p w14:paraId="29F573BA" w14:textId="77777777" w:rsidR="005745F1" w:rsidRPr="000655C7" w:rsidRDefault="005745F1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07141EFD" w:rsidR="00C114FF" w:rsidRPr="000655C7" w:rsidRDefault="008E1CA4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0655C7">
        <w:rPr>
          <w:b/>
          <w:szCs w:val="22"/>
        </w:rPr>
        <w:t>Léčivé látky:</w:t>
      </w:r>
    </w:p>
    <w:p w14:paraId="5DBC8849" w14:textId="0B0C517A" w:rsidR="00C114FF" w:rsidRPr="000655C7" w:rsidRDefault="005745F1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0655C7">
        <w:rPr>
          <w:iCs/>
          <w:szCs w:val="22"/>
        </w:rPr>
        <w:t>Clindamycinum</w:t>
      </w:r>
      <w:proofErr w:type="spellEnd"/>
      <w:r w:rsidRPr="000655C7">
        <w:rPr>
          <w:iCs/>
          <w:szCs w:val="22"/>
        </w:rPr>
        <w:t xml:space="preserve"> (jako </w:t>
      </w:r>
      <w:proofErr w:type="spellStart"/>
      <w:r w:rsidRPr="000655C7">
        <w:rPr>
          <w:iCs/>
          <w:szCs w:val="22"/>
        </w:rPr>
        <w:t>hydrochloridum</w:t>
      </w:r>
      <w:proofErr w:type="spellEnd"/>
      <w:r w:rsidRPr="000655C7">
        <w:rPr>
          <w:iCs/>
          <w:szCs w:val="22"/>
        </w:rPr>
        <w:t>) ........................88 mg</w:t>
      </w:r>
    </w:p>
    <w:p w14:paraId="4114CC73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0C47E41B" w:rsidR="00C114FF" w:rsidRPr="000655C7" w:rsidRDefault="008E1CA4" w:rsidP="00A9226B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</w:tblGrid>
      <w:tr w:rsidR="005745F1" w:rsidRPr="000655C7" w14:paraId="0646F081" w14:textId="77777777" w:rsidTr="00FE379B">
        <w:tc>
          <w:tcPr>
            <w:tcW w:w="4540" w:type="dxa"/>
            <w:shd w:val="clear" w:color="auto" w:fill="auto"/>
            <w:vAlign w:val="center"/>
          </w:tcPr>
          <w:p w14:paraId="728C2A7D" w14:textId="77777777" w:rsidR="005745F1" w:rsidRPr="000655C7" w:rsidRDefault="005745F1" w:rsidP="00FE379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0655C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5745F1" w:rsidRPr="000655C7" w14:paraId="13CF3348" w14:textId="77777777" w:rsidTr="00FE379B">
        <w:tc>
          <w:tcPr>
            <w:tcW w:w="4540" w:type="dxa"/>
            <w:shd w:val="clear" w:color="auto" w:fill="auto"/>
            <w:vAlign w:val="center"/>
          </w:tcPr>
          <w:p w14:paraId="6A853856" w14:textId="77777777" w:rsidR="005745F1" w:rsidRPr="000655C7" w:rsidRDefault="005745F1" w:rsidP="00FE379B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0655C7">
              <w:rPr>
                <w:iCs/>
                <w:szCs w:val="22"/>
              </w:rPr>
              <w:t>Kuřecí aroma</w:t>
            </w:r>
          </w:p>
        </w:tc>
      </w:tr>
      <w:tr w:rsidR="005745F1" w:rsidRPr="000655C7" w14:paraId="02804D4E" w14:textId="77777777" w:rsidTr="00FE379B">
        <w:tc>
          <w:tcPr>
            <w:tcW w:w="4540" w:type="dxa"/>
            <w:shd w:val="clear" w:color="auto" w:fill="auto"/>
            <w:vAlign w:val="center"/>
          </w:tcPr>
          <w:p w14:paraId="0EEF0430" w14:textId="77777777" w:rsidR="005745F1" w:rsidRPr="000655C7" w:rsidRDefault="005745F1" w:rsidP="00FE379B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0655C7">
              <w:rPr>
                <w:iCs/>
                <w:szCs w:val="22"/>
              </w:rPr>
              <w:t>Kvasnicový extrakt</w:t>
            </w:r>
          </w:p>
        </w:tc>
      </w:tr>
      <w:tr w:rsidR="005745F1" w:rsidRPr="000655C7" w14:paraId="3233018D" w14:textId="77777777" w:rsidTr="00FE379B">
        <w:tc>
          <w:tcPr>
            <w:tcW w:w="4540" w:type="dxa"/>
            <w:shd w:val="clear" w:color="auto" w:fill="auto"/>
            <w:vAlign w:val="center"/>
          </w:tcPr>
          <w:p w14:paraId="0F224EBA" w14:textId="77777777" w:rsidR="005745F1" w:rsidRPr="000655C7" w:rsidRDefault="005745F1" w:rsidP="00FE379B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0655C7">
              <w:rPr>
                <w:iCs/>
                <w:szCs w:val="22"/>
              </w:rPr>
              <w:t xml:space="preserve">Sodná sůl </w:t>
            </w:r>
            <w:proofErr w:type="spellStart"/>
            <w:r w:rsidRPr="000655C7">
              <w:rPr>
                <w:iCs/>
                <w:szCs w:val="22"/>
              </w:rPr>
              <w:t>kroskarmelosy</w:t>
            </w:r>
            <w:proofErr w:type="spellEnd"/>
          </w:p>
        </w:tc>
      </w:tr>
      <w:tr w:rsidR="005745F1" w:rsidRPr="000655C7" w14:paraId="51331DD7" w14:textId="77777777" w:rsidTr="00FE379B">
        <w:tc>
          <w:tcPr>
            <w:tcW w:w="4540" w:type="dxa"/>
            <w:shd w:val="clear" w:color="auto" w:fill="auto"/>
            <w:vAlign w:val="center"/>
          </w:tcPr>
          <w:p w14:paraId="69CF4FBE" w14:textId="77777777" w:rsidR="005745F1" w:rsidRPr="000655C7" w:rsidRDefault="005745F1" w:rsidP="00FE379B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0655C7">
              <w:rPr>
                <w:iCs/>
                <w:szCs w:val="22"/>
              </w:rPr>
              <w:t>Kopovidon</w:t>
            </w:r>
            <w:proofErr w:type="spellEnd"/>
          </w:p>
        </w:tc>
      </w:tr>
      <w:tr w:rsidR="005745F1" w:rsidRPr="000655C7" w14:paraId="4B1FAD68" w14:textId="77777777" w:rsidTr="00FE379B">
        <w:tc>
          <w:tcPr>
            <w:tcW w:w="4540" w:type="dxa"/>
            <w:shd w:val="clear" w:color="auto" w:fill="auto"/>
            <w:vAlign w:val="center"/>
          </w:tcPr>
          <w:p w14:paraId="310C9793" w14:textId="77777777" w:rsidR="005745F1" w:rsidRPr="000655C7" w:rsidRDefault="005745F1" w:rsidP="00FE379B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0655C7">
              <w:rPr>
                <w:iCs/>
                <w:szCs w:val="22"/>
              </w:rPr>
              <w:t>Magnesium-stearát</w:t>
            </w:r>
          </w:p>
        </w:tc>
      </w:tr>
      <w:tr w:rsidR="005745F1" w:rsidRPr="000655C7" w14:paraId="1D853934" w14:textId="77777777" w:rsidTr="00FE379B">
        <w:tc>
          <w:tcPr>
            <w:tcW w:w="4540" w:type="dxa"/>
            <w:shd w:val="clear" w:color="auto" w:fill="auto"/>
            <w:vAlign w:val="center"/>
          </w:tcPr>
          <w:p w14:paraId="194C41CE" w14:textId="77777777" w:rsidR="005745F1" w:rsidRPr="000655C7" w:rsidRDefault="005745F1" w:rsidP="00FE379B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0655C7">
              <w:rPr>
                <w:iCs/>
                <w:szCs w:val="22"/>
              </w:rPr>
              <w:t>Koloidní bezvodý oxid křemičitý</w:t>
            </w:r>
          </w:p>
        </w:tc>
      </w:tr>
      <w:tr w:rsidR="005745F1" w:rsidRPr="000655C7" w14:paraId="10535C42" w14:textId="77777777" w:rsidTr="00FE379B">
        <w:tc>
          <w:tcPr>
            <w:tcW w:w="4540" w:type="dxa"/>
            <w:shd w:val="clear" w:color="auto" w:fill="auto"/>
            <w:vAlign w:val="center"/>
          </w:tcPr>
          <w:p w14:paraId="1AF050AA" w14:textId="77777777" w:rsidR="005745F1" w:rsidRPr="000655C7" w:rsidRDefault="005745F1" w:rsidP="00FE379B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0655C7">
              <w:rPr>
                <w:iCs/>
                <w:szCs w:val="22"/>
              </w:rPr>
              <w:t xml:space="preserve">Mikrokrystalická </w:t>
            </w:r>
            <w:proofErr w:type="spellStart"/>
            <w:r w:rsidRPr="000655C7">
              <w:rPr>
                <w:iCs/>
                <w:szCs w:val="22"/>
              </w:rPr>
              <w:t>celulosa</w:t>
            </w:r>
            <w:proofErr w:type="spellEnd"/>
          </w:p>
        </w:tc>
      </w:tr>
      <w:tr w:rsidR="005745F1" w:rsidRPr="000655C7" w14:paraId="4D082BB8" w14:textId="77777777" w:rsidTr="00FE379B">
        <w:tc>
          <w:tcPr>
            <w:tcW w:w="4540" w:type="dxa"/>
            <w:shd w:val="clear" w:color="auto" w:fill="auto"/>
            <w:vAlign w:val="center"/>
          </w:tcPr>
          <w:p w14:paraId="690702ED" w14:textId="77777777" w:rsidR="005745F1" w:rsidRPr="000655C7" w:rsidRDefault="005745F1" w:rsidP="00FE379B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0655C7">
              <w:rPr>
                <w:iCs/>
                <w:szCs w:val="22"/>
              </w:rPr>
              <w:t>Monohydrát</w:t>
            </w:r>
            <w:proofErr w:type="spellEnd"/>
            <w:r w:rsidRPr="000655C7">
              <w:rPr>
                <w:iCs/>
                <w:szCs w:val="22"/>
              </w:rPr>
              <w:t xml:space="preserve"> </w:t>
            </w:r>
            <w:proofErr w:type="spellStart"/>
            <w:r w:rsidRPr="000655C7">
              <w:rPr>
                <w:iCs/>
                <w:szCs w:val="22"/>
              </w:rPr>
              <w:t>laktosy</w:t>
            </w:r>
            <w:proofErr w:type="spellEnd"/>
          </w:p>
        </w:tc>
      </w:tr>
    </w:tbl>
    <w:p w14:paraId="4BEA123C" w14:textId="77777777" w:rsidR="005745F1" w:rsidRPr="000655C7" w:rsidRDefault="005745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ACCB4" w14:textId="59BE211A" w:rsidR="005745F1" w:rsidRPr="000655C7" w:rsidRDefault="005745F1" w:rsidP="005745F1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Tableta béžové barvy ve tvaru jetelového listu s dělící rýhou. Tabletu lze dělit na čtyři stejné části.</w:t>
      </w:r>
    </w:p>
    <w:p w14:paraId="38F51D2A" w14:textId="77777777" w:rsidR="00872C48" w:rsidRPr="000655C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0655C7" w:rsidRDefault="008E1CA4" w:rsidP="00B13B6D">
      <w:pPr>
        <w:pStyle w:val="Style1"/>
      </w:pPr>
      <w:r w:rsidRPr="000655C7">
        <w:t>3.</w:t>
      </w:r>
      <w:r w:rsidRPr="000655C7">
        <w:tab/>
        <w:t>KLINICKÉ INFORMACE</w:t>
      </w:r>
    </w:p>
    <w:p w14:paraId="03304F78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0655C7" w:rsidRDefault="008E1CA4" w:rsidP="00B13B6D">
      <w:pPr>
        <w:pStyle w:val="Style1"/>
      </w:pPr>
      <w:r w:rsidRPr="000655C7">
        <w:t>3.1</w:t>
      </w:r>
      <w:r w:rsidRPr="000655C7">
        <w:tab/>
        <w:t>Cílové druhy zvířat</w:t>
      </w:r>
    </w:p>
    <w:p w14:paraId="20FFAC3D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1AF14" w14:textId="6F764CE4" w:rsidR="005745F1" w:rsidRPr="000655C7" w:rsidRDefault="005745F1" w:rsidP="00A9226B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Psi.</w:t>
      </w:r>
    </w:p>
    <w:p w14:paraId="116B404D" w14:textId="77777777" w:rsidR="005745F1" w:rsidRPr="000655C7" w:rsidRDefault="005745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0655C7" w:rsidRDefault="008E1CA4" w:rsidP="00B13B6D">
      <w:pPr>
        <w:pStyle w:val="Style1"/>
      </w:pPr>
      <w:r w:rsidRPr="000655C7">
        <w:t>3.2</w:t>
      </w:r>
      <w:r w:rsidRPr="000655C7">
        <w:tab/>
        <w:t xml:space="preserve">Indikace pro použití pro každý cílový druh </w:t>
      </w:r>
      <w:r w:rsidR="0043586F" w:rsidRPr="000655C7">
        <w:t>zvířat</w:t>
      </w:r>
    </w:p>
    <w:p w14:paraId="327E3A6F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866926" w14:textId="2AD4B25E" w:rsidR="005745F1" w:rsidRPr="000655C7" w:rsidRDefault="005745F1" w:rsidP="005745F1">
      <w:pPr>
        <w:tabs>
          <w:tab w:val="clear" w:pos="567"/>
        </w:tabs>
        <w:spacing w:line="240" w:lineRule="auto"/>
      </w:pPr>
      <w:r w:rsidRPr="000655C7">
        <w:t>- Léčba infikovaných ran</w:t>
      </w:r>
      <w:r w:rsidR="00C72690">
        <w:t>,</w:t>
      </w:r>
      <w:r w:rsidRPr="000655C7">
        <w:t xml:space="preserve"> abscesů a infekcí ústní dutiny</w:t>
      </w:r>
      <w:r w:rsidR="00AA3ACE">
        <w:t>,</w:t>
      </w:r>
      <w:r w:rsidRPr="000655C7">
        <w:t xml:space="preserve"> včetně onemocnění </w:t>
      </w:r>
      <w:proofErr w:type="spellStart"/>
      <w:r w:rsidRPr="000655C7">
        <w:t>periodontu</w:t>
      </w:r>
      <w:proofErr w:type="spellEnd"/>
    </w:p>
    <w:p w14:paraId="127CC16E" w14:textId="66CBB404" w:rsidR="005745F1" w:rsidRPr="000655C7" w:rsidRDefault="003A1F63" w:rsidP="005745F1">
      <w:pPr>
        <w:tabs>
          <w:tab w:val="clear" w:pos="567"/>
        </w:tabs>
        <w:spacing w:line="240" w:lineRule="auto"/>
      </w:pPr>
      <w:r>
        <w:t>vyvolaných</w:t>
      </w:r>
      <w:r w:rsidRPr="000655C7">
        <w:t xml:space="preserve"> </w:t>
      </w:r>
      <w:r w:rsidR="005745F1" w:rsidRPr="000655C7">
        <w:t xml:space="preserve">nebo spojených </w:t>
      </w:r>
      <w:r w:rsidR="004B5406" w:rsidRPr="000655C7">
        <w:t>s</w:t>
      </w:r>
      <w:r w:rsidR="004B5406">
        <w:t> bakteriemi rodu</w:t>
      </w:r>
      <w:r w:rsidR="004B5406" w:rsidRPr="000655C7">
        <w:t xml:space="preserve"> </w:t>
      </w:r>
      <w:proofErr w:type="spellStart"/>
      <w:r w:rsidR="005745F1" w:rsidRPr="000655C7">
        <w:rPr>
          <w:i/>
          <w:iCs/>
        </w:rPr>
        <w:t>Staphylococcus</w:t>
      </w:r>
      <w:proofErr w:type="spellEnd"/>
      <w:r w:rsidR="005745F1" w:rsidRPr="000655C7">
        <w:rPr>
          <w:i/>
          <w:iCs/>
        </w:rPr>
        <w:t xml:space="preserve"> </w:t>
      </w:r>
      <w:proofErr w:type="spellStart"/>
      <w:r w:rsidR="005745F1" w:rsidRPr="000655C7">
        <w:t>spp</w:t>
      </w:r>
      <w:proofErr w:type="spellEnd"/>
      <w:r w:rsidR="005745F1" w:rsidRPr="000655C7">
        <w:t xml:space="preserve">., </w:t>
      </w:r>
      <w:proofErr w:type="spellStart"/>
      <w:r w:rsidR="005745F1" w:rsidRPr="000655C7">
        <w:rPr>
          <w:i/>
          <w:iCs/>
        </w:rPr>
        <w:t>Streptococcus</w:t>
      </w:r>
      <w:proofErr w:type="spellEnd"/>
      <w:r w:rsidR="005745F1" w:rsidRPr="000655C7">
        <w:rPr>
          <w:i/>
          <w:iCs/>
        </w:rPr>
        <w:t xml:space="preserve"> </w:t>
      </w:r>
      <w:proofErr w:type="spellStart"/>
      <w:r w:rsidR="005745F1" w:rsidRPr="000655C7">
        <w:t>spp</w:t>
      </w:r>
      <w:proofErr w:type="spellEnd"/>
      <w:r w:rsidR="005745F1" w:rsidRPr="000655C7">
        <w:t>. (s výjimkou</w:t>
      </w:r>
    </w:p>
    <w:p w14:paraId="57155EB8" w14:textId="77777777" w:rsidR="005745F1" w:rsidRPr="000655C7" w:rsidRDefault="005745F1" w:rsidP="005745F1">
      <w:pPr>
        <w:tabs>
          <w:tab w:val="clear" w:pos="567"/>
        </w:tabs>
        <w:spacing w:line="240" w:lineRule="auto"/>
      </w:pPr>
      <w:proofErr w:type="spellStart"/>
      <w:r w:rsidRPr="000655C7">
        <w:rPr>
          <w:i/>
          <w:iCs/>
        </w:rPr>
        <w:t>Enterococcus</w:t>
      </w:r>
      <w:proofErr w:type="spellEnd"/>
      <w:r w:rsidRPr="000655C7">
        <w:rPr>
          <w:i/>
          <w:iCs/>
        </w:rPr>
        <w:t xml:space="preserve"> </w:t>
      </w:r>
      <w:proofErr w:type="spellStart"/>
      <w:r w:rsidRPr="000655C7">
        <w:rPr>
          <w:i/>
          <w:iCs/>
        </w:rPr>
        <w:t>faecalis</w:t>
      </w:r>
      <w:proofErr w:type="spellEnd"/>
      <w:r w:rsidRPr="000655C7">
        <w:t xml:space="preserve">), </w:t>
      </w:r>
      <w:proofErr w:type="spellStart"/>
      <w:r w:rsidRPr="000655C7">
        <w:rPr>
          <w:i/>
          <w:iCs/>
        </w:rPr>
        <w:t>Bacteroides</w:t>
      </w:r>
      <w:proofErr w:type="spellEnd"/>
      <w:r w:rsidRPr="000655C7">
        <w:rPr>
          <w:i/>
          <w:iCs/>
        </w:rPr>
        <w:t xml:space="preserve"> </w:t>
      </w:r>
      <w:proofErr w:type="spellStart"/>
      <w:r w:rsidRPr="000655C7">
        <w:t>spp</w:t>
      </w:r>
      <w:proofErr w:type="spellEnd"/>
      <w:r w:rsidRPr="000655C7">
        <w:t xml:space="preserve">., </w:t>
      </w:r>
      <w:proofErr w:type="spellStart"/>
      <w:r w:rsidRPr="000655C7">
        <w:rPr>
          <w:i/>
          <w:iCs/>
        </w:rPr>
        <w:t>Fusobacterium</w:t>
      </w:r>
      <w:proofErr w:type="spellEnd"/>
      <w:r w:rsidRPr="000655C7">
        <w:rPr>
          <w:i/>
          <w:iCs/>
        </w:rPr>
        <w:t xml:space="preserve"> </w:t>
      </w:r>
      <w:proofErr w:type="spellStart"/>
      <w:r w:rsidRPr="000655C7">
        <w:rPr>
          <w:i/>
          <w:iCs/>
        </w:rPr>
        <w:t>necrophorum</w:t>
      </w:r>
      <w:proofErr w:type="spellEnd"/>
      <w:r w:rsidRPr="000655C7">
        <w:rPr>
          <w:i/>
          <w:iCs/>
        </w:rPr>
        <w:t xml:space="preserve"> a Clostridium </w:t>
      </w:r>
      <w:proofErr w:type="spellStart"/>
      <w:r w:rsidRPr="000655C7">
        <w:rPr>
          <w:i/>
          <w:iCs/>
        </w:rPr>
        <w:t>perfringens</w:t>
      </w:r>
      <w:proofErr w:type="spellEnd"/>
      <w:r w:rsidRPr="000655C7">
        <w:t>.</w:t>
      </w:r>
    </w:p>
    <w:p w14:paraId="69DF96CD" w14:textId="77777777" w:rsidR="005745F1" w:rsidRPr="000655C7" w:rsidRDefault="005745F1" w:rsidP="005745F1">
      <w:pPr>
        <w:tabs>
          <w:tab w:val="clear" w:pos="567"/>
        </w:tabs>
        <w:spacing w:line="240" w:lineRule="auto"/>
        <w:rPr>
          <w:i/>
          <w:iCs/>
        </w:rPr>
      </w:pPr>
      <w:r w:rsidRPr="000655C7">
        <w:t xml:space="preserve">- Léčba povrchové pyodermie spojené se </w:t>
      </w:r>
      <w:proofErr w:type="spellStart"/>
      <w:r w:rsidRPr="000655C7">
        <w:rPr>
          <w:i/>
          <w:iCs/>
        </w:rPr>
        <w:t>Staphylococcus</w:t>
      </w:r>
      <w:proofErr w:type="spellEnd"/>
      <w:r w:rsidRPr="000655C7">
        <w:rPr>
          <w:i/>
          <w:iCs/>
        </w:rPr>
        <w:t xml:space="preserve"> </w:t>
      </w:r>
      <w:proofErr w:type="spellStart"/>
      <w:r w:rsidRPr="000655C7">
        <w:rPr>
          <w:i/>
          <w:iCs/>
        </w:rPr>
        <w:t>pseudintermedius</w:t>
      </w:r>
      <w:proofErr w:type="spellEnd"/>
      <w:r w:rsidRPr="000655C7">
        <w:rPr>
          <w:i/>
          <w:iCs/>
        </w:rPr>
        <w:t>.</w:t>
      </w:r>
    </w:p>
    <w:p w14:paraId="45A9E78C" w14:textId="2FC5E77A" w:rsidR="00E86CEE" w:rsidRPr="000655C7" w:rsidRDefault="005745F1" w:rsidP="005745F1">
      <w:pPr>
        <w:tabs>
          <w:tab w:val="clear" w:pos="567"/>
        </w:tabs>
        <w:spacing w:line="240" w:lineRule="auto"/>
        <w:rPr>
          <w:i/>
          <w:iCs/>
        </w:rPr>
      </w:pPr>
      <w:r w:rsidRPr="000655C7">
        <w:t xml:space="preserve">- Léčba osteomyelitidy </w:t>
      </w:r>
      <w:r w:rsidR="003A1F63">
        <w:t xml:space="preserve">vyvolané </w:t>
      </w:r>
      <w:proofErr w:type="spellStart"/>
      <w:r w:rsidRPr="000655C7">
        <w:rPr>
          <w:i/>
          <w:iCs/>
        </w:rPr>
        <w:t>Staphylococcus</w:t>
      </w:r>
      <w:proofErr w:type="spellEnd"/>
      <w:r w:rsidRPr="000655C7">
        <w:rPr>
          <w:i/>
          <w:iCs/>
        </w:rPr>
        <w:t xml:space="preserve"> aureus.</w:t>
      </w:r>
    </w:p>
    <w:p w14:paraId="0725F0FA" w14:textId="77777777" w:rsidR="005745F1" w:rsidRPr="000655C7" w:rsidRDefault="005745F1" w:rsidP="005745F1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0655C7" w:rsidRDefault="008E1CA4" w:rsidP="00B13B6D">
      <w:pPr>
        <w:pStyle w:val="Style1"/>
      </w:pPr>
      <w:r w:rsidRPr="000655C7">
        <w:t>3.3</w:t>
      </w:r>
      <w:r w:rsidRPr="000655C7">
        <w:tab/>
        <w:t>Kontraindikace</w:t>
      </w:r>
    </w:p>
    <w:p w14:paraId="758D96B3" w14:textId="77777777" w:rsidR="00C114FF" w:rsidRPr="000655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319F87" w14:textId="564E0DFC" w:rsidR="005745F1" w:rsidRPr="000655C7" w:rsidRDefault="005745F1" w:rsidP="005745F1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 xml:space="preserve">Nepoužívat v </w:t>
      </w:r>
      <w:r w:rsidRPr="000655C7">
        <w:t xml:space="preserve">případech </w:t>
      </w:r>
      <w:r w:rsidRPr="000655C7">
        <w:rPr>
          <w:szCs w:val="22"/>
        </w:rPr>
        <w:t xml:space="preserve">přecitlivělosti na léčivou látku nebo na některou z pomocných látek nebo na </w:t>
      </w:r>
      <w:proofErr w:type="spellStart"/>
      <w:r w:rsidRPr="000655C7">
        <w:rPr>
          <w:szCs w:val="22"/>
        </w:rPr>
        <w:t>linkomycin</w:t>
      </w:r>
      <w:proofErr w:type="spellEnd"/>
      <w:r w:rsidRPr="000655C7">
        <w:rPr>
          <w:szCs w:val="22"/>
        </w:rPr>
        <w:t>.</w:t>
      </w:r>
    </w:p>
    <w:p w14:paraId="59C1CCF1" w14:textId="77777777" w:rsidR="005745F1" w:rsidRPr="000655C7" w:rsidRDefault="005745F1" w:rsidP="005745F1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Nepodávat králíkům, křečkům, morčatům, činčilám, koním nebo přežvýkavcům, protože požití</w:t>
      </w:r>
    </w:p>
    <w:p w14:paraId="1ADAC610" w14:textId="7AE01DA7" w:rsidR="005745F1" w:rsidRPr="000655C7" w:rsidRDefault="005745F1" w:rsidP="005745F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655C7">
        <w:rPr>
          <w:szCs w:val="22"/>
        </w:rPr>
        <w:t>klindamycinu</w:t>
      </w:r>
      <w:proofErr w:type="spellEnd"/>
      <w:r w:rsidRPr="000655C7">
        <w:rPr>
          <w:szCs w:val="22"/>
        </w:rPr>
        <w:t xml:space="preserve"> u těchto druhů může mít za následek závažné gastrointestinální poruchy.</w:t>
      </w:r>
    </w:p>
    <w:p w14:paraId="54C2FA76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0655C7" w:rsidRDefault="008E1CA4" w:rsidP="00B13B6D">
      <w:pPr>
        <w:pStyle w:val="Style1"/>
      </w:pPr>
      <w:r w:rsidRPr="000655C7">
        <w:t>3.4</w:t>
      </w:r>
      <w:r w:rsidRPr="000655C7">
        <w:tab/>
        <w:t>Zvláštní upozornění</w:t>
      </w:r>
    </w:p>
    <w:p w14:paraId="0622A062" w14:textId="77777777" w:rsidR="00C114FF" w:rsidRPr="000655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51F03B0E" w:rsidR="00E86CEE" w:rsidRPr="000655C7" w:rsidRDefault="005745F1">
      <w:pPr>
        <w:tabs>
          <w:tab w:val="clear" w:pos="567"/>
        </w:tabs>
        <w:spacing w:line="240" w:lineRule="auto"/>
      </w:pPr>
      <w:r w:rsidRPr="000655C7">
        <w:t>Nejsou.</w:t>
      </w:r>
    </w:p>
    <w:p w14:paraId="3B7106E7" w14:textId="77777777" w:rsidR="005745F1" w:rsidRPr="000655C7" w:rsidRDefault="005745F1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0655C7" w:rsidRDefault="008E1CA4" w:rsidP="00B13B6D">
      <w:pPr>
        <w:pStyle w:val="Style1"/>
      </w:pPr>
      <w:r w:rsidRPr="000655C7">
        <w:lastRenderedPageBreak/>
        <w:t>3.5</w:t>
      </w:r>
      <w:r w:rsidRPr="000655C7">
        <w:tab/>
        <w:t>Zvláštní opatření pro použití</w:t>
      </w:r>
    </w:p>
    <w:p w14:paraId="0B94D7B2" w14:textId="77777777" w:rsidR="00C114FF" w:rsidRPr="000655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0655C7" w:rsidRDefault="008E1CA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655C7">
        <w:rPr>
          <w:szCs w:val="22"/>
          <w:u w:val="single"/>
        </w:rPr>
        <w:t>Zvláštní opatření pro bezpečné použití u cílových druhů zvířat:</w:t>
      </w:r>
    </w:p>
    <w:p w14:paraId="7E271ECD" w14:textId="77777777" w:rsidR="002576E0" w:rsidRPr="000655C7" w:rsidRDefault="002576E0" w:rsidP="002576E0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Žvýkací tablety jsou ochucené. K zamezení náhodnému požití, skladujte tablety mimo dosah zvířat.</w:t>
      </w:r>
    </w:p>
    <w:p w14:paraId="44F91E41" w14:textId="0B4B6EA7" w:rsidR="002576E0" w:rsidRPr="000655C7" w:rsidRDefault="002576E0" w:rsidP="002576E0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Veterinární léčivý přípravek by měl být používán na základě výsledku stanovení citlivosti bakterií izolovaných ze zvířete.</w:t>
      </w:r>
    </w:p>
    <w:p w14:paraId="439524A1" w14:textId="3FA24945" w:rsidR="002576E0" w:rsidRPr="000655C7" w:rsidRDefault="002576E0" w:rsidP="002576E0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Při použití tohoto veterinárního léčivého přípravku by měly být vzaty v úvahu principy oficiální a národní antibiotické politiky.</w:t>
      </w:r>
    </w:p>
    <w:p w14:paraId="355A38B0" w14:textId="27B16EB9" w:rsidR="00C114FF" w:rsidRPr="000655C7" w:rsidRDefault="002576E0" w:rsidP="002576E0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Použití veterinárního léčivého přípravku v rozporu s pokyny uvedenými v</w:t>
      </w:r>
      <w:r w:rsidR="003B20B3">
        <w:rPr>
          <w:szCs w:val="22"/>
        </w:rPr>
        <w:t> </w:t>
      </w:r>
      <w:bookmarkStart w:id="0" w:name="_Hlk201061297"/>
      <w:r w:rsidR="003B20B3" w:rsidRPr="004A7AEA">
        <w:rPr>
          <w:szCs w:val="22"/>
        </w:rPr>
        <w:t>tomto souhrnu údajů o přípravku</w:t>
      </w:r>
      <w:r w:rsidR="003B20B3">
        <w:rPr>
          <w:szCs w:val="22"/>
        </w:rPr>
        <w:t xml:space="preserve"> </w:t>
      </w:r>
      <w:bookmarkEnd w:id="0"/>
      <w:r w:rsidR="003B20B3">
        <w:rPr>
          <w:szCs w:val="22"/>
        </w:rPr>
        <w:t>(</w:t>
      </w:r>
      <w:r w:rsidRPr="000655C7">
        <w:rPr>
          <w:szCs w:val="22"/>
        </w:rPr>
        <w:t>SPC</w:t>
      </w:r>
      <w:r w:rsidR="003B20B3">
        <w:rPr>
          <w:szCs w:val="22"/>
        </w:rPr>
        <w:t>)</w:t>
      </w:r>
      <w:r w:rsidRPr="000655C7">
        <w:rPr>
          <w:szCs w:val="22"/>
        </w:rPr>
        <w:t xml:space="preserve"> </w:t>
      </w:r>
      <w:bookmarkStart w:id="1" w:name="_Hlk201056187"/>
      <w:r w:rsidRPr="000655C7">
        <w:rPr>
          <w:szCs w:val="22"/>
        </w:rPr>
        <w:t xml:space="preserve">může </w:t>
      </w:r>
      <w:bookmarkStart w:id="2" w:name="_Hlk201057600"/>
      <w:r w:rsidR="0089596F" w:rsidRPr="0089596F">
        <w:rPr>
          <w:szCs w:val="22"/>
        </w:rPr>
        <w:t xml:space="preserve">vést ke zvýšení prevalence bakterií rezistentních na </w:t>
      </w:r>
      <w:proofErr w:type="spellStart"/>
      <w:r w:rsidR="0089596F" w:rsidRPr="0089596F">
        <w:rPr>
          <w:szCs w:val="22"/>
        </w:rPr>
        <w:t>klindamycin</w:t>
      </w:r>
      <w:proofErr w:type="spellEnd"/>
      <w:r w:rsidR="0089596F" w:rsidRPr="0089596F">
        <w:rPr>
          <w:szCs w:val="22"/>
        </w:rPr>
        <w:t xml:space="preserve"> a ke snížení účinnosti léčby </w:t>
      </w:r>
      <w:proofErr w:type="spellStart"/>
      <w:r w:rsidR="0089596F" w:rsidRPr="0089596F">
        <w:rPr>
          <w:szCs w:val="22"/>
        </w:rPr>
        <w:t>linkomycinem</w:t>
      </w:r>
      <w:proofErr w:type="spellEnd"/>
      <w:r w:rsidR="0089596F">
        <w:rPr>
          <w:szCs w:val="22"/>
        </w:rPr>
        <w:t xml:space="preserve"> </w:t>
      </w:r>
      <w:bookmarkEnd w:id="1"/>
      <w:bookmarkEnd w:id="2"/>
      <w:r w:rsidRPr="000655C7">
        <w:rPr>
          <w:szCs w:val="22"/>
        </w:rPr>
        <w:t xml:space="preserve">nebo </w:t>
      </w:r>
      <w:proofErr w:type="spellStart"/>
      <w:r w:rsidRPr="000655C7">
        <w:rPr>
          <w:szCs w:val="22"/>
        </w:rPr>
        <w:t>antimikrobiky</w:t>
      </w:r>
      <w:proofErr w:type="spellEnd"/>
      <w:r w:rsidRPr="000655C7">
        <w:rPr>
          <w:szCs w:val="22"/>
        </w:rPr>
        <w:t xml:space="preserve"> ze skupiny </w:t>
      </w:r>
      <w:proofErr w:type="spellStart"/>
      <w:r w:rsidRPr="000655C7">
        <w:rPr>
          <w:szCs w:val="22"/>
        </w:rPr>
        <w:t>makrolidů</w:t>
      </w:r>
      <w:proofErr w:type="spellEnd"/>
      <w:r w:rsidRPr="000655C7">
        <w:rPr>
          <w:szCs w:val="22"/>
        </w:rPr>
        <w:t xml:space="preserve"> z důvodů možné zkřížené rezistence.</w:t>
      </w:r>
    </w:p>
    <w:p w14:paraId="3A4B7D6A" w14:textId="77777777" w:rsidR="002576E0" w:rsidRPr="000655C7" w:rsidRDefault="002576E0" w:rsidP="002576E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655C7">
        <w:rPr>
          <w:szCs w:val="22"/>
        </w:rPr>
        <w:t>Klindamycin</w:t>
      </w:r>
      <w:proofErr w:type="spellEnd"/>
      <w:r w:rsidRPr="000655C7">
        <w:rPr>
          <w:szCs w:val="22"/>
        </w:rPr>
        <w:t xml:space="preserve"> a </w:t>
      </w:r>
      <w:proofErr w:type="spellStart"/>
      <w:r w:rsidRPr="000655C7">
        <w:rPr>
          <w:szCs w:val="22"/>
        </w:rPr>
        <w:t>erythromycin</w:t>
      </w:r>
      <w:proofErr w:type="spellEnd"/>
      <w:r w:rsidRPr="000655C7">
        <w:rPr>
          <w:szCs w:val="22"/>
        </w:rPr>
        <w:t xml:space="preserve"> vykazují zkříženou rezistenci. Částečná zkřížená rezistence byla</w:t>
      </w:r>
    </w:p>
    <w:p w14:paraId="7D172F29" w14:textId="77777777" w:rsidR="002576E0" w:rsidRPr="000655C7" w:rsidRDefault="002576E0" w:rsidP="002576E0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 xml:space="preserve">prokázána mezi </w:t>
      </w:r>
      <w:proofErr w:type="spellStart"/>
      <w:r w:rsidRPr="000655C7">
        <w:rPr>
          <w:szCs w:val="22"/>
        </w:rPr>
        <w:t>klindamycinem</w:t>
      </w:r>
      <w:proofErr w:type="spellEnd"/>
      <w:r w:rsidRPr="000655C7">
        <w:rPr>
          <w:szCs w:val="22"/>
        </w:rPr>
        <w:t xml:space="preserve">, </w:t>
      </w:r>
      <w:proofErr w:type="spellStart"/>
      <w:r w:rsidRPr="000655C7">
        <w:rPr>
          <w:szCs w:val="22"/>
        </w:rPr>
        <w:t>erythromycinem</w:t>
      </w:r>
      <w:proofErr w:type="spellEnd"/>
      <w:r w:rsidRPr="000655C7">
        <w:rPr>
          <w:szCs w:val="22"/>
        </w:rPr>
        <w:t xml:space="preserve"> a jinými </w:t>
      </w:r>
      <w:proofErr w:type="spellStart"/>
      <w:r w:rsidRPr="000655C7">
        <w:rPr>
          <w:szCs w:val="22"/>
        </w:rPr>
        <w:t>makrolidovými</w:t>
      </w:r>
      <w:proofErr w:type="spellEnd"/>
      <w:r w:rsidRPr="000655C7">
        <w:rPr>
          <w:szCs w:val="22"/>
        </w:rPr>
        <w:t xml:space="preserve"> antibiotiky.</w:t>
      </w:r>
    </w:p>
    <w:p w14:paraId="7D79280F" w14:textId="5CF173C4" w:rsidR="002576E0" w:rsidRPr="000655C7" w:rsidRDefault="0089596F" w:rsidP="002576E0">
      <w:pPr>
        <w:tabs>
          <w:tab w:val="clear" w:pos="567"/>
        </w:tabs>
        <w:spacing w:line="240" w:lineRule="auto"/>
        <w:rPr>
          <w:szCs w:val="22"/>
        </w:rPr>
      </w:pPr>
      <w:bookmarkStart w:id="3" w:name="_Hlk201056221"/>
      <w:r w:rsidRPr="0089596F">
        <w:rPr>
          <w:szCs w:val="22"/>
        </w:rPr>
        <w:t>Při dlouhodobé terapii trvající jeden měsíc nebo déle</w:t>
      </w:r>
      <w:r w:rsidR="002576E0" w:rsidRPr="000655C7">
        <w:rPr>
          <w:szCs w:val="22"/>
        </w:rPr>
        <w:t xml:space="preserve"> </w:t>
      </w:r>
      <w:bookmarkEnd w:id="3"/>
      <w:r w:rsidR="002576E0" w:rsidRPr="000655C7">
        <w:rPr>
          <w:szCs w:val="22"/>
        </w:rPr>
        <w:t>by měly být pravidelně prováděny</w:t>
      </w:r>
    </w:p>
    <w:p w14:paraId="2C02C482" w14:textId="77777777" w:rsidR="002576E0" w:rsidRPr="000655C7" w:rsidRDefault="002576E0" w:rsidP="002576E0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testy funkce jater a ledvin a testy krevního obrazu.</w:t>
      </w:r>
    </w:p>
    <w:p w14:paraId="04C04F9E" w14:textId="4F898FFB" w:rsidR="002576E0" w:rsidRPr="000655C7" w:rsidRDefault="0089596F" w:rsidP="002576E0">
      <w:pPr>
        <w:tabs>
          <w:tab w:val="clear" w:pos="567"/>
        </w:tabs>
        <w:spacing w:line="240" w:lineRule="auto"/>
        <w:rPr>
          <w:szCs w:val="22"/>
        </w:rPr>
      </w:pPr>
      <w:bookmarkStart w:id="4" w:name="_Hlk201056243"/>
      <w:r w:rsidRPr="0089596F">
        <w:rPr>
          <w:szCs w:val="22"/>
        </w:rPr>
        <w:t xml:space="preserve">U zvířat s těžkou renální a/nebo </w:t>
      </w:r>
      <w:proofErr w:type="spellStart"/>
      <w:r w:rsidRPr="0089596F">
        <w:rPr>
          <w:szCs w:val="22"/>
        </w:rPr>
        <w:t>hepatální</w:t>
      </w:r>
      <w:proofErr w:type="spellEnd"/>
      <w:r w:rsidRPr="0089596F">
        <w:rPr>
          <w:szCs w:val="22"/>
        </w:rPr>
        <w:t xml:space="preserve"> dysfunkcí doprovázenou závažnými metabolickými poruchami </w:t>
      </w:r>
      <w:bookmarkEnd w:id="4"/>
      <w:r w:rsidR="002576E0" w:rsidRPr="000655C7">
        <w:rPr>
          <w:szCs w:val="22"/>
        </w:rPr>
        <w:t xml:space="preserve">je třeba zvlášť opatrně zvažovat dávkování veterinárního léčivého přípravku a v případě použití režimu s vysokou dávkou </w:t>
      </w:r>
      <w:proofErr w:type="spellStart"/>
      <w:r w:rsidR="002576E0" w:rsidRPr="000655C7">
        <w:rPr>
          <w:szCs w:val="22"/>
        </w:rPr>
        <w:t>klindamycinu</w:t>
      </w:r>
      <w:proofErr w:type="spellEnd"/>
      <w:r w:rsidR="002576E0" w:rsidRPr="000655C7">
        <w:rPr>
          <w:szCs w:val="22"/>
        </w:rPr>
        <w:t xml:space="preserve"> musí být zdravotní stav zvířat monitorován biochemickým vyšetřením krevního séra.</w:t>
      </w:r>
    </w:p>
    <w:p w14:paraId="111E7B88" w14:textId="6B656D9E" w:rsidR="001B3D26" w:rsidRPr="000655C7" w:rsidRDefault="007A4FCA" w:rsidP="007A4FC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655C7">
        <w:rPr>
          <w:szCs w:val="22"/>
        </w:rPr>
        <w:t>Klindamycin</w:t>
      </w:r>
      <w:proofErr w:type="spellEnd"/>
      <w:r w:rsidRPr="000655C7">
        <w:rPr>
          <w:szCs w:val="22"/>
        </w:rPr>
        <w:t xml:space="preserve"> v některých případech vyvolává přemnožení necitlivých organismů, jako jsou klostridie a kvasinky. V případě superinfekce je nutné přijmout vhodná opatření v závislosti na klinické situaci</w:t>
      </w:r>
    </w:p>
    <w:p w14:paraId="117F609A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0655C7" w:rsidRDefault="008E1CA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655C7">
        <w:rPr>
          <w:szCs w:val="22"/>
          <w:u w:val="single"/>
        </w:rPr>
        <w:t>Zvláštní opatření pro osobu, která podává veterinární léčivý přípravek zvířatům:</w:t>
      </w:r>
    </w:p>
    <w:p w14:paraId="4995C379" w14:textId="77777777" w:rsidR="00010835" w:rsidRPr="000655C7" w:rsidRDefault="00010835" w:rsidP="00010835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 xml:space="preserve">Lidé se známou přecitlivělostí na </w:t>
      </w:r>
      <w:proofErr w:type="spellStart"/>
      <w:r w:rsidRPr="000655C7">
        <w:rPr>
          <w:szCs w:val="22"/>
        </w:rPr>
        <w:t>linkosamidy</w:t>
      </w:r>
      <w:proofErr w:type="spellEnd"/>
      <w:r w:rsidRPr="000655C7">
        <w:rPr>
          <w:szCs w:val="22"/>
        </w:rPr>
        <w:t xml:space="preserve"> (</w:t>
      </w:r>
      <w:proofErr w:type="spellStart"/>
      <w:r w:rsidRPr="000655C7">
        <w:rPr>
          <w:szCs w:val="22"/>
        </w:rPr>
        <w:t>linkomycin</w:t>
      </w:r>
      <w:proofErr w:type="spellEnd"/>
      <w:r w:rsidRPr="000655C7">
        <w:rPr>
          <w:szCs w:val="22"/>
        </w:rPr>
        <w:t xml:space="preserve"> a </w:t>
      </w:r>
      <w:proofErr w:type="spellStart"/>
      <w:r w:rsidRPr="000655C7">
        <w:rPr>
          <w:szCs w:val="22"/>
        </w:rPr>
        <w:t>klindamycin</w:t>
      </w:r>
      <w:proofErr w:type="spellEnd"/>
      <w:r w:rsidRPr="000655C7">
        <w:rPr>
          <w:szCs w:val="22"/>
        </w:rPr>
        <w:t>) by se měli vyhnout</w:t>
      </w:r>
    </w:p>
    <w:p w14:paraId="1178CC95" w14:textId="77777777" w:rsidR="00010835" w:rsidRPr="000655C7" w:rsidRDefault="00010835" w:rsidP="00010835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kontaktu s veterinárním léčivým přípravkem.</w:t>
      </w:r>
    </w:p>
    <w:p w14:paraId="624D1883" w14:textId="2D2B33A5" w:rsidR="00010835" w:rsidRPr="000655C7" w:rsidRDefault="00010835" w:rsidP="00010835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 xml:space="preserve">Po </w:t>
      </w:r>
      <w:r w:rsidR="001B3D26">
        <w:rPr>
          <w:szCs w:val="22"/>
        </w:rPr>
        <w:t>nakládání</w:t>
      </w:r>
      <w:r w:rsidR="001B3D26" w:rsidRPr="000655C7">
        <w:rPr>
          <w:szCs w:val="22"/>
        </w:rPr>
        <w:t xml:space="preserve"> </w:t>
      </w:r>
      <w:r w:rsidRPr="000655C7">
        <w:rPr>
          <w:szCs w:val="22"/>
        </w:rPr>
        <w:t>s tabletami si umyjte ruce.</w:t>
      </w:r>
    </w:p>
    <w:p w14:paraId="42B2561F" w14:textId="6D69147C" w:rsidR="00010835" w:rsidRPr="000655C7" w:rsidRDefault="00010835" w:rsidP="00010835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 xml:space="preserve">Náhodné požití může způsobit gastrointestinální potíže, jako je bolest břicha a průjem. </w:t>
      </w:r>
      <w:r w:rsidR="001B3D26">
        <w:rPr>
          <w:szCs w:val="22"/>
        </w:rPr>
        <w:t>Zabraňte</w:t>
      </w:r>
    </w:p>
    <w:p w14:paraId="4E9EB8C1" w14:textId="77777777" w:rsidR="00010835" w:rsidRPr="000655C7" w:rsidRDefault="00010835" w:rsidP="00010835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náhodnému požití.</w:t>
      </w:r>
    </w:p>
    <w:p w14:paraId="3A22A79E" w14:textId="77777777" w:rsidR="00010835" w:rsidRPr="000655C7" w:rsidRDefault="00010835" w:rsidP="00010835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V případě náhodného požití, zejména dětmi, vyhledejte ihned lékařskou pomoc a ukažte příbalovou</w:t>
      </w:r>
    </w:p>
    <w:p w14:paraId="2DE787A4" w14:textId="5E853AA1" w:rsidR="00C114FF" w:rsidRPr="000655C7" w:rsidRDefault="00010835" w:rsidP="00010835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informaci nebo etiketu praktickému lékaři.</w:t>
      </w:r>
    </w:p>
    <w:p w14:paraId="7D364D19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E024CB" w14:textId="77777777" w:rsidR="006E4ABF" w:rsidRPr="000655C7" w:rsidRDefault="006E4ABF" w:rsidP="00444FE1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0655C7">
        <w:rPr>
          <w:szCs w:val="22"/>
          <w:u w:val="single"/>
        </w:rPr>
        <w:t>Zvláštní opatření pro ochranu životního prostředí:</w:t>
      </w:r>
    </w:p>
    <w:p w14:paraId="1EF05338" w14:textId="77777777" w:rsidR="006E4ABF" w:rsidRPr="000655C7" w:rsidRDefault="006E4ABF" w:rsidP="006E4ABF">
      <w:pPr>
        <w:tabs>
          <w:tab w:val="clear" w:pos="567"/>
        </w:tabs>
        <w:spacing w:line="240" w:lineRule="auto"/>
        <w:rPr>
          <w:szCs w:val="22"/>
        </w:rPr>
      </w:pPr>
      <w:r w:rsidRPr="000655C7">
        <w:t>Neuplatňuje se.</w:t>
      </w:r>
    </w:p>
    <w:p w14:paraId="309A1DB9" w14:textId="77777777" w:rsidR="00295140" w:rsidRPr="000655C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0655C7" w:rsidRDefault="008E1CA4" w:rsidP="00B13B6D">
      <w:pPr>
        <w:pStyle w:val="Style1"/>
      </w:pPr>
      <w:r w:rsidRPr="000655C7">
        <w:t>3.6</w:t>
      </w:r>
      <w:r w:rsidRPr="000655C7">
        <w:tab/>
        <w:t>Nežádoucí účinky</w:t>
      </w:r>
    </w:p>
    <w:p w14:paraId="10F3D673" w14:textId="77777777" w:rsidR="00295140" w:rsidRPr="000655C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5C06D2ED" w:rsidR="00AD0710" w:rsidRPr="000655C7" w:rsidRDefault="006E4ABF" w:rsidP="00AD0710">
      <w:pPr>
        <w:tabs>
          <w:tab w:val="clear" w:pos="567"/>
        </w:tabs>
        <w:spacing w:line="240" w:lineRule="auto"/>
        <w:rPr>
          <w:szCs w:val="22"/>
        </w:rPr>
      </w:pPr>
      <w:r w:rsidRPr="000655C7">
        <w:t>Psi:</w:t>
      </w:r>
    </w:p>
    <w:p w14:paraId="669C145E" w14:textId="77777777" w:rsidR="00295140" w:rsidRPr="000655C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B7005" w:rsidRPr="000655C7" w14:paraId="2A97D209" w14:textId="77777777" w:rsidTr="00617B81">
        <w:tc>
          <w:tcPr>
            <w:tcW w:w="1957" w:type="pct"/>
          </w:tcPr>
          <w:p w14:paraId="5D574AED" w14:textId="77777777" w:rsidR="00295140" w:rsidRPr="000655C7" w:rsidRDefault="008E1CA4" w:rsidP="00617B81">
            <w:pPr>
              <w:spacing w:before="60" w:after="60"/>
              <w:rPr>
                <w:szCs w:val="22"/>
              </w:rPr>
            </w:pPr>
            <w:r w:rsidRPr="000655C7">
              <w:t>Velmi vzácné</w:t>
            </w:r>
          </w:p>
          <w:p w14:paraId="78E246FA" w14:textId="08148C55" w:rsidR="00295140" w:rsidRPr="000655C7" w:rsidRDefault="008E1CA4" w:rsidP="00617B81">
            <w:pPr>
              <w:spacing w:before="60" w:after="60"/>
              <w:rPr>
                <w:szCs w:val="22"/>
              </w:rPr>
            </w:pPr>
            <w:r w:rsidRPr="000655C7">
              <w:t>(&lt;1</w:t>
            </w:r>
            <w:r w:rsidR="00BB6835" w:rsidRPr="000655C7"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3FE65DE" w14:textId="77777777" w:rsidR="00295140" w:rsidRPr="000655C7" w:rsidRDefault="006E4ABF" w:rsidP="00617B81">
            <w:pPr>
              <w:spacing w:before="60" w:after="60"/>
            </w:pPr>
            <w:r w:rsidRPr="000655C7">
              <w:t>Hypersenzitivní reakce</w:t>
            </w:r>
          </w:p>
          <w:p w14:paraId="10A41E1C" w14:textId="77777777" w:rsidR="006E4ABF" w:rsidRPr="000655C7" w:rsidRDefault="006E4ABF" w:rsidP="00617B81">
            <w:pPr>
              <w:spacing w:before="60" w:after="60"/>
              <w:rPr>
                <w:iCs/>
                <w:szCs w:val="22"/>
              </w:rPr>
            </w:pPr>
            <w:r w:rsidRPr="000655C7">
              <w:rPr>
                <w:iCs/>
                <w:szCs w:val="22"/>
              </w:rPr>
              <w:t>Trombocytopenie</w:t>
            </w:r>
          </w:p>
          <w:p w14:paraId="1BC9DFB5" w14:textId="1CA2FA2F" w:rsidR="006E4ABF" w:rsidRPr="000655C7" w:rsidRDefault="006E4ABF" w:rsidP="00617B81">
            <w:pPr>
              <w:spacing w:before="60" w:after="60"/>
              <w:rPr>
                <w:iCs/>
                <w:szCs w:val="22"/>
              </w:rPr>
            </w:pPr>
            <w:r w:rsidRPr="000655C7">
              <w:rPr>
                <w:iCs/>
                <w:szCs w:val="22"/>
              </w:rPr>
              <w:t>Zvracení, průjem</w:t>
            </w:r>
          </w:p>
        </w:tc>
      </w:tr>
    </w:tbl>
    <w:p w14:paraId="1D616E5A" w14:textId="77777777" w:rsidR="00295140" w:rsidRPr="000655C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574350B1" w:rsidR="00247A48" w:rsidRPr="000655C7" w:rsidRDefault="008E1CA4" w:rsidP="00247A48">
      <w:bookmarkStart w:id="5" w:name="_Hlk66891708"/>
      <w:r w:rsidRPr="000655C7">
        <w:t>Hlášení nežádoucích účinků je důležité. Umožňuje nepřetržité sledování bezpečnosti veterinárního léčivého přípravku. Hlášení je třeba zaslat</w:t>
      </w:r>
      <w:r w:rsidR="005272F4" w:rsidRPr="000655C7">
        <w:t>,</w:t>
      </w:r>
      <w:r w:rsidRPr="000655C7">
        <w:t xml:space="preserve"> pokud možno</w:t>
      </w:r>
      <w:r w:rsidR="005272F4" w:rsidRPr="000655C7">
        <w:t>,</w:t>
      </w:r>
      <w:r w:rsidRPr="000655C7">
        <w:t xml:space="preserve"> prostřednictvím veterinárního lékaře</w:t>
      </w:r>
      <w:r w:rsidR="00562715" w:rsidRPr="000655C7">
        <w:t>,</w:t>
      </w:r>
      <w:r w:rsidRPr="000655C7">
        <w:t xml:space="preserve"> buď držiteli rozhodnutí o registraci</w:t>
      </w:r>
      <w:r w:rsidR="00CA28D8" w:rsidRPr="000655C7">
        <w:t>,</w:t>
      </w:r>
      <w:r w:rsidR="00863A6D" w:rsidRPr="000655C7">
        <w:t xml:space="preserve"> </w:t>
      </w:r>
      <w:r w:rsidRPr="000655C7">
        <w:t xml:space="preserve">nebo jeho místnímu zástupci, nebo příslušnému vnitrostátnímu orgánu prostřednictvím národního systému hlášení. </w:t>
      </w:r>
      <w:bookmarkStart w:id="6" w:name="_Hlk184130880"/>
      <w:r w:rsidRPr="000655C7">
        <w:t>Podrobné kontaktní údaje naleznete</w:t>
      </w:r>
      <w:bookmarkEnd w:id="6"/>
      <w:r w:rsidRPr="000655C7">
        <w:t xml:space="preserve"> </w:t>
      </w:r>
      <w:r w:rsidR="00067023" w:rsidRPr="000655C7">
        <w:t xml:space="preserve">v </w:t>
      </w:r>
      <w:r w:rsidRPr="000655C7">
        <w:t>příbalové informac</w:t>
      </w:r>
      <w:r w:rsidR="00863A6D" w:rsidRPr="000655C7">
        <w:t>i</w:t>
      </w:r>
      <w:r w:rsidR="006E4ABF" w:rsidRPr="000655C7">
        <w:t>.</w:t>
      </w:r>
    </w:p>
    <w:bookmarkEnd w:id="5"/>
    <w:p w14:paraId="6871F765" w14:textId="77777777" w:rsidR="00247A48" w:rsidRPr="000655C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0655C7" w:rsidRDefault="008E1CA4" w:rsidP="00B13B6D">
      <w:pPr>
        <w:pStyle w:val="Style1"/>
      </w:pPr>
      <w:r w:rsidRPr="000655C7">
        <w:t>3.7</w:t>
      </w:r>
      <w:r w:rsidRPr="000655C7">
        <w:tab/>
        <w:t>Použití v průběhu březosti, laktace nebo snášky</w:t>
      </w:r>
    </w:p>
    <w:p w14:paraId="0DFBFADE" w14:textId="77777777" w:rsidR="00C114FF" w:rsidRPr="000655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726B66" w14:textId="12DEE5D5" w:rsidR="006E4ABF" w:rsidRPr="000655C7" w:rsidRDefault="006E4ABF" w:rsidP="00145C3F">
      <w:pPr>
        <w:tabs>
          <w:tab w:val="clear" w:pos="567"/>
        </w:tabs>
        <w:spacing w:line="240" w:lineRule="auto"/>
      </w:pPr>
      <w:r w:rsidRPr="000655C7">
        <w:rPr>
          <w:u w:val="single"/>
        </w:rPr>
        <w:t>Březost</w:t>
      </w:r>
      <w:r w:rsidRPr="000655C7">
        <w:t xml:space="preserve"> </w:t>
      </w:r>
      <w:r w:rsidRPr="000655C7">
        <w:rPr>
          <w:szCs w:val="22"/>
          <w:u w:val="single"/>
        </w:rPr>
        <w:t>a laktace</w:t>
      </w:r>
      <w:r w:rsidRPr="000655C7">
        <w:t>:</w:t>
      </w:r>
    </w:p>
    <w:p w14:paraId="239CB61F" w14:textId="77777777" w:rsidR="00F279F3" w:rsidRPr="000655C7" w:rsidRDefault="00F279F3" w:rsidP="00F279F3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Zatímco studie s použitím vysoké dávky u potkanů nepodaly důkaz o teratogenním účinku</w:t>
      </w:r>
    </w:p>
    <w:p w14:paraId="4E03826D" w14:textId="77777777" w:rsidR="00F279F3" w:rsidRPr="000655C7" w:rsidRDefault="00F279F3" w:rsidP="00F279F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655C7">
        <w:rPr>
          <w:szCs w:val="22"/>
        </w:rPr>
        <w:t>klindamycinu</w:t>
      </w:r>
      <w:proofErr w:type="spellEnd"/>
      <w:r w:rsidRPr="000655C7">
        <w:rPr>
          <w:szCs w:val="22"/>
        </w:rPr>
        <w:t xml:space="preserve"> ani o účinku </w:t>
      </w:r>
      <w:proofErr w:type="spellStart"/>
      <w:r w:rsidRPr="000655C7">
        <w:rPr>
          <w:szCs w:val="22"/>
        </w:rPr>
        <w:t>klindamycinu</w:t>
      </w:r>
      <w:proofErr w:type="spellEnd"/>
      <w:r w:rsidRPr="000655C7">
        <w:rPr>
          <w:szCs w:val="22"/>
        </w:rPr>
        <w:t xml:space="preserve"> na reprodukci u samců a samic, nebyla stanovena bezpečnost</w:t>
      </w:r>
    </w:p>
    <w:p w14:paraId="77AF6E27" w14:textId="77777777" w:rsidR="00F279F3" w:rsidRPr="000655C7" w:rsidRDefault="00F279F3" w:rsidP="00F279F3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u březích fen nebo chovných psů.</w:t>
      </w:r>
    </w:p>
    <w:p w14:paraId="2021D737" w14:textId="77777777" w:rsidR="00F279F3" w:rsidRPr="000655C7" w:rsidRDefault="00F279F3" w:rsidP="00F279F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655C7">
        <w:rPr>
          <w:szCs w:val="22"/>
        </w:rPr>
        <w:t>Klindamycin</w:t>
      </w:r>
      <w:proofErr w:type="spellEnd"/>
      <w:r w:rsidRPr="000655C7">
        <w:rPr>
          <w:szCs w:val="22"/>
        </w:rPr>
        <w:t xml:space="preserve"> prochází placentární bariérou a přechází do mléka.</w:t>
      </w:r>
    </w:p>
    <w:p w14:paraId="4D4A14FF" w14:textId="77777777" w:rsidR="00F279F3" w:rsidRPr="000655C7" w:rsidRDefault="00F279F3" w:rsidP="00F279F3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lastRenderedPageBreak/>
        <w:t xml:space="preserve">Léčba </w:t>
      </w:r>
      <w:proofErr w:type="spellStart"/>
      <w:r w:rsidRPr="000655C7">
        <w:rPr>
          <w:szCs w:val="22"/>
        </w:rPr>
        <w:t>laktujících</w:t>
      </w:r>
      <w:proofErr w:type="spellEnd"/>
      <w:r w:rsidRPr="000655C7">
        <w:rPr>
          <w:szCs w:val="22"/>
        </w:rPr>
        <w:t xml:space="preserve"> fen může způsobit průjem u štěňat sajících jejich mléko.</w:t>
      </w:r>
    </w:p>
    <w:p w14:paraId="5FD0DD45" w14:textId="0A3D7D3E" w:rsidR="00F279F3" w:rsidRPr="000655C7" w:rsidRDefault="00F279F3" w:rsidP="00F279F3">
      <w:pPr>
        <w:tabs>
          <w:tab w:val="clear" w:pos="567"/>
        </w:tabs>
        <w:spacing w:line="240" w:lineRule="auto"/>
        <w:rPr>
          <w:szCs w:val="22"/>
        </w:rPr>
      </w:pPr>
      <w:r w:rsidRPr="000655C7">
        <w:t>Použít pouze po zvážení terapeutického prospěchu a rizika příslušným veterinárním lékařem.</w:t>
      </w:r>
    </w:p>
    <w:p w14:paraId="3CB65499" w14:textId="3885D77C" w:rsidR="00F279F3" w:rsidRPr="000655C7" w:rsidRDefault="002C25F6" w:rsidP="00F279F3">
      <w:pPr>
        <w:tabs>
          <w:tab w:val="clear" w:pos="567"/>
        </w:tabs>
        <w:spacing w:line="240" w:lineRule="auto"/>
        <w:rPr>
          <w:szCs w:val="22"/>
        </w:rPr>
      </w:pPr>
      <w:r>
        <w:t>Nedoporučuje se použití</w:t>
      </w:r>
      <w:r w:rsidR="00F279F3" w:rsidRPr="000655C7">
        <w:rPr>
          <w:szCs w:val="22"/>
        </w:rPr>
        <w:t xml:space="preserve"> u novorozených mláďat.</w:t>
      </w:r>
    </w:p>
    <w:p w14:paraId="45A16993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0655C7" w:rsidRDefault="008E1CA4" w:rsidP="00B13B6D">
      <w:pPr>
        <w:pStyle w:val="Style1"/>
      </w:pPr>
      <w:r w:rsidRPr="000655C7">
        <w:t>3.8</w:t>
      </w:r>
      <w:r w:rsidRPr="000655C7">
        <w:tab/>
        <w:t>Interakce s jinými léčivými přípravky a další formy interakce</w:t>
      </w:r>
    </w:p>
    <w:p w14:paraId="54454937" w14:textId="77777777" w:rsidR="00C114FF" w:rsidRPr="000655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D32041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 xml:space="preserve">Bylo prokázáno, že </w:t>
      </w:r>
      <w:proofErr w:type="spellStart"/>
      <w:r w:rsidRPr="000655C7">
        <w:rPr>
          <w:szCs w:val="22"/>
        </w:rPr>
        <w:t>klindamycin</w:t>
      </w:r>
      <w:proofErr w:type="spellEnd"/>
      <w:r w:rsidRPr="000655C7">
        <w:rPr>
          <w:szCs w:val="22"/>
        </w:rPr>
        <w:t xml:space="preserve"> </w:t>
      </w:r>
      <w:proofErr w:type="spellStart"/>
      <w:r w:rsidRPr="000655C7">
        <w:rPr>
          <w:szCs w:val="22"/>
        </w:rPr>
        <w:t>hydrochlorid</w:t>
      </w:r>
      <w:proofErr w:type="spellEnd"/>
      <w:r w:rsidRPr="000655C7">
        <w:rPr>
          <w:szCs w:val="22"/>
        </w:rPr>
        <w:t xml:space="preserve"> má schopnost blokovat nervosvalový přenos signálů,</w:t>
      </w:r>
    </w:p>
    <w:p w14:paraId="0F8917D6" w14:textId="01A88B3D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 xml:space="preserve">což může zvyšovat účinek ostatních nervosvalových blokátorů. </w:t>
      </w:r>
      <w:r w:rsidR="00B27B7A">
        <w:rPr>
          <w:szCs w:val="22"/>
        </w:rPr>
        <w:t>Zvířatům</w:t>
      </w:r>
      <w:r w:rsidRPr="000655C7">
        <w:rPr>
          <w:szCs w:val="22"/>
        </w:rPr>
        <w:t>, kterým jsou takové látky</w:t>
      </w:r>
    </w:p>
    <w:p w14:paraId="19642564" w14:textId="39F258CF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 xml:space="preserve">podávány, </w:t>
      </w:r>
      <w:r w:rsidR="005166B1">
        <w:rPr>
          <w:szCs w:val="22"/>
        </w:rPr>
        <w:t>by měl</w:t>
      </w:r>
      <w:r w:rsidR="005166B1" w:rsidRPr="000655C7">
        <w:rPr>
          <w:szCs w:val="22"/>
        </w:rPr>
        <w:t xml:space="preserve"> </w:t>
      </w:r>
      <w:r w:rsidRPr="000655C7">
        <w:rPr>
          <w:szCs w:val="22"/>
        </w:rPr>
        <w:t>být veterinární léčivý přípravek podáván obezřetně.</w:t>
      </w:r>
    </w:p>
    <w:p w14:paraId="0BFDBB4D" w14:textId="06364DC0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655C7">
        <w:rPr>
          <w:szCs w:val="22"/>
        </w:rPr>
        <w:t>Klindamycin</w:t>
      </w:r>
      <w:proofErr w:type="spellEnd"/>
      <w:r w:rsidRPr="000655C7">
        <w:rPr>
          <w:szCs w:val="22"/>
        </w:rPr>
        <w:t xml:space="preserve"> nesmí být podáván současně s </w:t>
      </w:r>
      <w:proofErr w:type="spellStart"/>
      <w:r w:rsidRPr="000655C7">
        <w:rPr>
          <w:szCs w:val="22"/>
        </w:rPr>
        <w:t>erythromycinem</w:t>
      </w:r>
      <w:proofErr w:type="spellEnd"/>
      <w:r w:rsidRPr="000655C7">
        <w:rPr>
          <w:szCs w:val="22"/>
        </w:rPr>
        <w:t xml:space="preserve"> nebo jinými </w:t>
      </w:r>
      <w:proofErr w:type="spellStart"/>
      <w:r w:rsidRPr="000655C7">
        <w:rPr>
          <w:szCs w:val="22"/>
        </w:rPr>
        <w:t>makrolidy</w:t>
      </w:r>
      <w:proofErr w:type="spellEnd"/>
      <w:r w:rsidRPr="000655C7">
        <w:rPr>
          <w:szCs w:val="22"/>
        </w:rPr>
        <w:t xml:space="preserve">, aby se </w:t>
      </w:r>
      <w:r w:rsidR="00167489">
        <w:rPr>
          <w:szCs w:val="22"/>
        </w:rPr>
        <w:t>předešlo</w:t>
      </w:r>
      <w:r w:rsidR="005D5B5F">
        <w:rPr>
          <w:szCs w:val="22"/>
        </w:rPr>
        <w:t xml:space="preserve"> </w:t>
      </w:r>
      <w:r w:rsidR="005D5B5F" w:rsidRPr="004A7AEA">
        <w:rPr>
          <w:szCs w:val="22"/>
        </w:rPr>
        <w:t>vzniku</w:t>
      </w:r>
      <w:r w:rsidR="005D5B5F">
        <w:rPr>
          <w:szCs w:val="22"/>
        </w:rPr>
        <w:t xml:space="preserve"> </w:t>
      </w:r>
      <w:proofErr w:type="spellStart"/>
      <w:r w:rsidR="00167489" w:rsidRPr="000655C7">
        <w:rPr>
          <w:szCs w:val="22"/>
        </w:rPr>
        <w:t>makrolid</w:t>
      </w:r>
      <w:r w:rsidR="00167489">
        <w:rPr>
          <w:szCs w:val="22"/>
        </w:rPr>
        <w:t>y</w:t>
      </w:r>
      <w:proofErr w:type="spellEnd"/>
      <w:r w:rsidR="00167489" w:rsidRPr="000655C7">
        <w:rPr>
          <w:szCs w:val="22"/>
        </w:rPr>
        <w:t xml:space="preserve"> </w:t>
      </w:r>
      <w:r w:rsidRPr="000655C7">
        <w:rPr>
          <w:szCs w:val="22"/>
        </w:rPr>
        <w:t xml:space="preserve">indukované </w:t>
      </w:r>
      <w:r w:rsidR="005D5B5F" w:rsidRPr="000655C7">
        <w:rPr>
          <w:szCs w:val="22"/>
        </w:rPr>
        <w:t>rezistenc</w:t>
      </w:r>
      <w:r w:rsidR="005D5B5F">
        <w:rPr>
          <w:szCs w:val="22"/>
        </w:rPr>
        <w:t>e</w:t>
      </w:r>
      <w:r w:rsidR="005D5B5F" w:rsidRPr="000655C7">
        <w:rPr>
          <w:szCs w:val="22"/>
        </w:rPr>
        <w:t xml:space="preserve"> </w:t>
      </w:r>
      <w:r w:rsidRPr="000655C7">
        <w:rPr>
          <w:szCs w:val="22"/>
        </w:rPr>
        <w:t xml:space="preserve">vůči </w:t>
      </w:r>
      <w:proofErr w:type="spellStart"/>
      <w:r w:rsidRPr="000655C7">
        <w:rPr>
          <w:szCs w:val="22"/>
        </w:rPr>
        <w:t>klindamycinu</w:t>
      </w:r>
      <w:proofErr w:type="spellEnd"/>
      <w:r w:rsidRPr="000655C7">
        <w:rPr>
          <w:szCs w:val="22"/>
        </w:rPr>
        <w:t>.</w:t>
      </w:r>
    </w:p>
    <w:p w14:paraId="20073AB0" w14:textId="6C51613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655C7">
        <w:rPr>
          <w:szCs w:val="22"/>
        </w:rPr>
        <w:t>Klindamycin</w:t>
      </w:r>
      <w:proofErr w:type="spellEnd"/>
      <w:r w:rsidRPr="000655C7">
        <w:rPr>
          <w:szCs w:val="22"/>
        </w:rPr>
        <w:t xml:space="preserve"> může snižovat plazmatické hladiny cyklosporinu</w:t>
      </w:r>
      <w:bookmarkStart w:id="7" w:name="_Hlk201056327"/>
      <w:bookmarkStart w:id="8" w:name="_Hlk201055271"/>
      <w:r w:rsidR="00167489">
        <w:rPr>
          <w:szCs w:val="22"/>
        </w:rPr>
        <w:t>,</w:t>
      </w:r>
      <w:r w:rsidRPr="000655C7">
        <w:rPr>
          <w:szCs w:val="22"/>
        </w:rPr>
        <w:t xml:space="preserve"> </w:t>
      </w:r>
      <w:r w:rsidR="00167489" w:rsidRPr="00167489">
        <w:rPr>
          <w:szCs w:val="22"/>
        </w:rPr>
        <w:t>což může vést ke snížení jeho účinnosti.</w:t>
      </w:r>
      <w:bookmarkEnd w:id="7"/>
    </w:p>
    <w:bookmarkEnd w:id="8"/>
    <w:p w14:paraId="506330E0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 xml:space="preserve">Při současném užívání </w:t>
      </w:r>
      <w:proofErr w:type="spellStart"/>
      <w:r w:rsidRPr="000655C7">
        <w:rPr>
          <w:szCs w:val="22"/>
        </w:rPr>
        <w:t>klindamycinu</w:t>
      </w:r>
      <w:proofErr w:type="spellEnd"/>
      <w:r w:rsidRPr="000655C7">
        <w:rPr>
          <w:szCs w:val="22"/>
        </w:rPr>
        <w:t xml:space="preserve"> a aminoglykosidů (např. </w:t>
      </w:r>
      <w:proofErr w:type="spellStart"/>
      <w:r w:rsidRPr="000655C7">
        <w:rPr>
          <w:szCs w:val="22"/>
        </w:rPr>
        <w:t>gentamicinu</w:t>
      </w:r>
      <w:proofErr w:type="spellEnd"/>
      <w:r w:rsidRPr="000655C7">
        <w:rPr>
          <w:szCs w:val="22"/>
        </w:rPr>
        <w:t>) nelze vyloučit riziko</w:t>
      </w:r>
    </w:p>
    <w:p w14:paraId="7B082CAD" w14:textId="0856F166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nežádoucích interakcí (akutní selhání ledvin).</w:t>
      </w:r>
    </w:p>
    <w:p w14:paraId="0B86F3A7" w14:textId="77777777" w:rsidR="00C90EDA" w:rsidRPr="000655C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0655C7" w:rsidRDefault="008E1CA4" w:rsidP="00B13B6D">
      <w:pPr>
        <w:pStyle w:val="Style1"/>
      </w:pPr>
      <w:r w:rsidRPr="000655C7">
        <w:t>3.9</w:t>
      </w:r>
      <w:r w:rsidRPr="000655C7">
        <w:tab/>
        <w:t>Cesty podání a dávkování</w:t>
      </w:r>
    </w:p>
    <w:p w14:paraId="0C31E074" w14:textId="77777777" w:rsidR="00145D34" w:rsidRPr="000655C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98C13B" w14:textId="7CA23631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Perorální podání.</w:t>
      </w:r>
    </w:p>
    <w:p w14:paraId="0712F088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</w:p>
    <w:p w14:paraId="7239A6A2" w14:textId="30D8C539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 xml:space="preserve">1. K léčbě infikovaných ran a abscesů a infekcí ústní dutiny včetně onemocnění </w:t>
      </w:r>
      <w:proofErr w:type="spellStart"/>
      <w:r w:rsidRPr="000655C7">
        <w:rPr>
          <w:szCs w:val="22"/>
        </w:rPr>
        <w:t>periodontu</w:t>
      </w:r>
      <w:proofErr w:type="spellEnd"/>
      <w:r w:rsidRPr="000655C7">
        <w:rPr>
          <w:szCs w:val="22"/>
        </w:rPr>
        <w:t xml:space="preserve"> podávejte</w:t>
      </w:r>
    </w:p>
    <w:p w14:paraId="28BA8984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buď:</w:t>
      </w:r>
    </w:p>
    <w:p w14:paraId="173A5FC0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- 5,5 mg/kg ž.hm. každých 12 hodin po dobu 7-10 dnů, nebo</w:t>
      </w:r>
    </w:p>
    <w:p w14:paraId="35781793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- 11 mg/kg ž.hm. každých 24 hodin po dobu 7 až 10 dnů.</w:t>
      </w:r>
    </w:p>
    <w:p w14:paraId="5B2D3F89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Pokud se neprojeví žádná klinická odpověď do 4 dnů, je potřeba přehodnotit diagnózu.</w:t>
      </w:r>
    </w:p>
    <w:p w14:paraId="5ECC69E6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</w:p>
    <w:p w14:paraId="71EB6281" w14:textId="7605FD1E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2. K léčbě povrchové pyodermie u psů podávejte buď:</w:t>
      </w:r>
    </w:p>
    <w:p w14:paraId="6E2ED2BD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- 5,5 mg/kg ž.hm. každých 12 hodin, nebo</w:t>
      </w:r>
    </w:p>
    <w:p w14:paraId="1557A1D0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- 11 mg/kg ž.hm. každých 24 hodin.</w:t>
      </w:r>
    </w:p>
    <w:p w14:paraId="5DE7537F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Doporučená délka léčby povrchové pyodermie je obvykle 21 dnů, s tím, že je možné na základě</w:t>
      </w:r>
    </w:p>
    <w:p w14:paraId="0E7B0C0D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klinického posouzení rozhodnout o jejím prodloužení.</w:t>
      </w:r>
    </w:p>
    <w:p w14:paraId="31304889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</w:p>
    <w:p w14:paraId="218A0B31" w14:textId="06278894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 xml:space="preserve">3. K léčbě osteomyelitidy u psů </w:t>
      </w:r>
      <w:r w:rsidR="004C4CDE" w:rsidRPr="000655C7">
        <w:rPr>
          <w:szCs w:val="22"/>
        </w:rPr>
        <w:t>p</w:t>
      </w:r>
      <w:r w:rsidR="004C4CDE">
        <w:rPr>
          <w:szCs w:val="22"/>
        </w:rPr>
        <w:t>odávejte</w:t>
      </w:r>
      <w:r w:rsidRPr="000655C7">
        <w:rPr>
          <w:szCs w:val="22"/>
        </w:rPr>
        <w:t>:</w:t>
      </w:r>
    </w:p>
    <w:p w14:paraId="47DC20AE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- 11 mg/kg ž.hm. každých 12 hodin po dobu nejméně 28 dnů.</w:t>
      </w:r>
    </w:p>
    <w:p w14:paraId="62DE90CB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Pokud se během 14 dnů nedostaví žádná klinická odpověď, je nutné léčbu ukončit a přehodnotit</w:t>
      </w:r>
    </w:p>
    <w:p w14:paraId="0F65B6EE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diagnózu.</w:t>
      </w:r>
    </w:p>
    <w:p w14:paraId="65B842FB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</w:p>
    <w:p w14:paraId="4C27939D" w14:textId="245B82DE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Příklad dávkování:</w:t>
      </w:r>
    </w:p>
    <w:p w14:paraId="0EAF293B" w14:textId="2556CEFF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• Pro dávkování 11 mg/kg</w:t>
      </w:r>
    </w:p>
    <w:p w14:paraId="3061A30D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4"/>
        <w:gridCol w:w="2864"/>
      </w:tblGrid>
      <w:tr w:rsidR="001B43A9" w:rsidRPr="000655C7" w14:paraId="4DF046EF" w14:textId="77777777" w:rsidTr="001B43A9">
        <w:tc>
          <w:tcPr>
            <w:tcW w:w="1984" w:type="dxa"/>
          </w:tcPr>
          <w:p w14:paraId="79D24CAB" w14:textId="63628713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b/>
                <w:bCs/>
                <w:szCs w:val="22"/>
              </w:rPr>
              <w:t>Hmotnost (kg)</w:t>
            </w:r>
          </w:p>
        </w:tc>
        <w:tc>
          <w:tcPr>
            <w:tcW w:w="2864" w:type="dxa"/>
          </w:tcPr>
          <w:p w14:paraId="13D42DDE" w14:textId="168CFA4E" w:rsidR="001B43A9" w:rsidRPr="000655C7" w:rsidRDefault="001B43A9" w:rsidP="001B43A9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b/>
                <w:bCs/>
                <w:szCs w:val="22"/>
              </w:rPr>
              <w:t>Počet podávaných tablet</w:t>
            </w:r>
          </w:p>
        </w:tc>
      </w:tr>
      <w:tr w:rsidR="001B43A9" w:rsidRPr="000655C7" w14:paraId="381535A6" w14:textId="77777777" w:rsidTr="001B43A9">
        <w:tc>
          <w:tcPr>
            <w:tcW w:w="1984" w:type="dxa"/>
          </w:tcPr>
          <w:p w14:paraId="15DE1BE3" w14:textId="77777777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>1.</w:t>
            </w:r>
            <w:proofErr w:type="gramStart"/>
            <w:r w:rsidRPr="000655C7">
              <w:rPr>
                <w:szCs w:val="22"/>
              </w:rPr>
              <w:t>0 – 2</w:t>
            </w:r>
            <w:proofErr w:type="gramEnd"/>
            <w:r w:rsidRPr="000655C7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04E09DDF" w14:textId="77777777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 xml:space="preserve">¼ </w:t>
            </w:r>
            <w:proofErr w:type="spellStart"/>
            <w:r w:rsidRPr="000655C7">
              <w:rPr>
                <w:szCs w:val="22"/>
              </w:rPr>
              <w:t>tab</w:t>
            </w:r>
            <w:proofErr w:type="spellEnd"/>
          </w:p>
        </w:tc>
      </w:tr>
      <w:tr w:rsidR="001B43A9" w:rsidRPr="000655C7" w14:paraId="4CCEDF5D" w14:textId="77777777" w:rsidTr="001B43A9">
        <w:tc>
          <w:tcPr>
            <w:tcW w:w="1984" w:type="dxa"/>
          </w:tcPr>
          <w:p w14:paraId="20B7FFA4" w14:textId="77777777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>2.</w:t>
            </w:r>
            <w:proofErr w:type="gramStart"/>
            <w:r w:rsidRPr="000655C7">
              <w:rPr>
                <w:szCs w:val="22"/>
              </w:rPr>
              <w:t>1 – 4</w:t>
            </w:r>
            <w:proofErr w:type="gramEnd"/>
            <w:r w:rsidRPr="000655C7">
              <w:rPr>
                <w:szCs w:val="22"/>
              </w:rPr>
              <w:t xml:space="preserve">.0 </w:t>
            </w:r>
          </w:p>
        </w:tc>
        <w:tc>
          <w:tcPr>
            <w:tcW w:w="2864" w:type="dxa"/>
          </w:tcPr>
          <w:p w14:paraId="4DD7045A" w14:textId="77777777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 xml:space="preserve">½ </w:t>
            </w:r>
            <w:proofErr w:type="spellStart"/>
            <w:r w:rsidRPr="000655C7">
              <w:rPr>
                <w:szCs w:val="22"/>
              </w:rPr>
              <w:t>tab</w:t>
            </w:r>
            <w:proofErr w:type="spellEnd"/>
          </w:p>
        </w:tc>
      </w:tr>
      <w:tr w:rsidR="001B43A9" w:rsidRPr="000655C7" w14:paraId="543C50A5" w14:textId="77777777" w:rsidTr="001B43A9">
        <w:tc>
          <w:tcPr>
            <w:tcW w:w="1984" w:type="dxa"/>
          </w:tcPr>
          <w:p w14:paraId="375BD77D" w14:textId="77777777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>4.</w:t>
            </w:r>
            <w:proofErr w:type="gramStart"/>
            <w:r w:rsidRPr="000655C7">
              <w:rPr>
                <w:szCs w:val="22"/>
              </w:rPr>
              <w:t>1 – 6</w:t>
            </w:r>
            <w:proofErr w:type="gramEnd"/>
            <w:r w:rsidRPr="000655C7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5966B50B" w14:textId="77777777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 xml:space="preserve">¾ </w:t>
            </w:r>
            <w:proofErr w:type="spellStart"/>
            <w:r w:rsidRPr="000655C7">
              <w:rPr>
                <w:szCs w:val="22"/>
              </w:rPr>
              <w:t>tab</w:t>
            </w:r>
            <w:proofErr w:type="spellEnd"/>
          </w:p>
        </w:tc>
      </w:tr>
      <w:tr w:rsidR="001B43A9" w:rsidRPr="000655C7" w14:paraId="3E49CA90" w14:textId="77777777" w:rsidTr="001B43A9">
        <w:tc>
          <w:tcPr>
            <w:tcW w:w="1984" w:type="dxa"/>
          </w:tcPr>
          <w:p w14:paraId="28EEA821" w14:textId="77777777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>6.</w:t>
            </w:r>
            <w:proofErr w:type="gramStart"/>
            <w:r w:rsidRPr="000655C7">
              <w:rPr>
                <w:szCs w:val="22"/>
              </w:rPr>
              <w:t>1 – 8</w:t>
            </w:r>
            <w:proofErr w:type="gramEnd"/>
            <w:r w:rsidRPr="000655C7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66B4B9D3" w14:textId="77777777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 xml:space="preserve">1 </w:t>
            </w:r>
            <w:proofErr w:type="spellStart"/>
            <w:r w:rsidRPr="000655C7">
              <w:rPr>
                <w:szCs w:val="22"/>
              </w:rPr>
              <w:t>tab</w:t>
            </w:r>
            <w:proofErr w:type="spellEnd"/>
          </w:p>
        </w:tc>
      </w:tr>
      <w:tr w:rsidR="001B43A9" w:rsidRPr="000655C7" w14:paraId="03AB9DBD" w14:textId="77777777" w:rsidTr="001B43A9">
        <w:tc>
          <w:tcPr>
            <w:tcW w:w="1984" w:type="dxa"/>
          </w:tcPr>
          <w:p w14:paraId="2FECDA45" w14:textId="77777777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>8.</w:t>
            </w:r>
            <w:proofErr w:type="gramStart"/>
            <w:r w:rsidRPr="000655C7">
              <w:rPr>
                <w:szCs w:val="22"/>
              </w:rPr>
              <w:t>1 – 10</w:t>
            </w:r>
            <w:proofErr w:type="gramEnd"/>
            <w:r w:rsidRPr="000655C7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2C7E4862" w14:textId="396B470C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 xml:space="preserve">1 + ¼ </w:t>
            </w:r>
            <w:proofErr w:type="spellStart"/>
            <w:r w:rsidRPr="000655C7">
              <w:rPr>
                <w:szCs w:val="22"/>
              </w:rPr>
              <w:t>tab</w:t>
            </w:r>
            <w:proofErr w:type="spellEnd"/>
          </w:p>
        </w:tc>
      </w:tr>
      <w:tr w:rsidR="001B43A9" w:rsidRPr="000655C7" w14:paraId="33E4957B" w14:textId="77777777" w:rsidTr="001B43A9">
        <w:tc>
          <w:tcPr>
            <w:tcW w:w="1984" w:type="dxa"/>
          </w:tcPr>
          <w:p w14:paraId="69CF0FBC" w14:textId="77777777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>10.</w:t>
            </w:r>
            <w:proofErr w:type="gramStart"/>
            <w:r w:rsidRPr="000655C7">
              <w:rPr>
                <w:szCs w:val="22"/>
              </w:rPr>
              <w:t>1 – 12</w:t>
            </w:r>
            <w:proofErr w:type="gramEnd"/>
            <w:r w:rsidRPr="000655C7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479B825A" w14:textId="6391607D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 xml:space="preserve">1 + ½ </w:t>
            </w:r>
            <w:proofErr w:type="spellStart"/>
            <w:r w:rsidRPr="000655C7">
              <w:rPr>
                <w:szCs w:val="22"/>
              </w:rPr>
              <w:t>tab</w:t>
            </w:r>
            <w:proofErr w:type="spellEnd"/>
          </w:p>
        </w:tc>
      </w:tr>
      <w:tr w:rsidR="001B43A9" w:rsidRPr="000655C7" w14:paraId="5126C3A8" w14:textId="77777777" w:rsidTr="001B43A9">
        <w:tc>
          <w:tcPr>
            <w:tcW w:w="1984" w:type="dxa"/>
          </w:tcPr>
          <w:p w14:paraId="634760E7" w14:textId="77777777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>12.</w:t>
            </w:r>
            <w:proofErr w:type="gramStart"/>
            <w:r w:rsidRPr="000655C7">
              <w:rPr>
                <w:szCs w:val="22"/>
              </w:rPr>
              <w:t>1 – 14</w:t>
            </w:r>
            <w:proofErr w:type="gramEnd"/>
            <w:r w:rsidRPr="000655C7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445D7A39" w14:textId="5B2F800A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 xml:space="preserve">1 + ¾ </w:t>
            </w:r>
            <w:proofErr w:type="spellStart"/>
            <w:r w:rsidRPr="000655C7">
              <w:rPr>
                <w:szCs w:val="22"/>
              </w:rPr>
              <w:t>tab</w:t>
            </w:r>
            <w:proofErr w:type="spellEnd"/>
          </w:p>
        </w:tc>
      </w:tr>
      <w:tr w:rsidR="001B43A9" w:rsidRPr="000655C7" w14:paraId="711AFFD1" w14:textId="77777777" w:rsidTr="001B43A9">
        <w:tc>
          <w:tcPr>
            <w:tcW w:w="1984" w:type="dxa"/>
          </w:tcPr>
          <w:p w14:paraId="572CF3E6" w14:textId="77777777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>14.</w:t>
            </w:r>
            <w:proofErr w:type="gramStart"/>
            <w:r w:rsidRPr="000655C7">
              <w:rPr>
                <w:szCs w:val="22"/>
              </w:rPr>
              <w:t>1 – 16</w:t>
            </w:r>
            <w:proofErr w:type="gramEnd"/>
            <w:r w:rsidRPr="000655C7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72959FA9" w14:textId="484FD74C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 xml:space="preserve">2 </w:t>
            </w:r>
            <w:proofErr w:type="spellStart"/>
            <w:r w:rsidRPr="000655C7">
              <w:rPr>
                <w:szCs w:val="22"/>
              </w:rPr>
              <w:t>tab</w:t>
            </w:r>
            <w:proofErr w:type="spellEnd"/>
          </w:p>
        </w:tc>
      </w:tr>
    </w:tbl>
    <w:p w14:paraId="198AB86F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</w:p>
    <w:p w14:paraId="4D6C23C8" w14:textId="6822DB23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• Pro dávkování 5,5 mg/kg</w:t>
      </w:r>
    </w:p>
    <w:p w14:paraId="123077D8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4"/>
        <w:gridCol w:w="2864"/>
      </w:tblGrid>
      <w:tr w:rsidR="001B43A9" w:rsidRPr="000655C7" w14:paraId="7DEAA601" w14:textId="77777777" w:rsidTr="001B43A9">
        <w:tc>
          <w:tcPr>
            <w:tcW w:w="1984" w:type="dxa"/>
          </w:tcPr>
          <w:p w14:paraId="554950D9" w14:textId="7DA12188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b/>
                <w:bCs/>
                <w:szCs w:val="22"/>
              </w:rPr>
              <w:t>Hmotnost</w:t>
            </w:r>
            <w:r w:rsidRPr="000655C7">
              <w:rPr>
                <w:szCs w:val="22"/>
              </w:rPr>
              <w:t xml:space="preserve"> (kg)</w:t>
            </w:r>
          </w:p>
        </w:tc>
        <w:tc>
          <w:tcPr>
            <w:tcW w:w="2864" w:type="dxa"/>
          </w:tcPr>
          <w:p w14:paraId="78AF7363" w14:textId="1CFDC635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b/>
                <w:bCs/>
                <w:szCs w:val="22"/>
              </w:rPr>
              <w:t>Počet podávaných tablet</w:t>
            </w:r>
          </w:p>
        </w:tc>
      </w:tr>
      <w:tr w:rsidR="001B43A9" w:rsidRPr="000655C7" w14:paraId="18732721" w14:textId="77777777" w:rsidTr="001B43A9">
        <w:tc>
          <w:tcPr>
            <w:tcW w:w="1984" w:type="dxa"/>
          </w:tcPr>
          <w:p w14:paraId="2DEF7D1C" w14:textId="77777777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>2.</w:t>
            </w:r>
            <w:proofErr w:type="gramStart"/>
            <w:r w:rsidRPr="000655C7">
              <w:rPr>
                <w:szCs w:val="22"/>
              </w:rPr>
              <w:t>0 – 4</w:t>
            </w:r>
            <w:proofErr w:type="gramEnd"/>
            <w:r w:rsidRPr="000655C7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579F61AE" w14:textId="77777777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 xml:space="preserve">¼ </w:t>
            </w:r>
            <w:proofErr w:type="spellStart"/>
            <w:r w:rsidRPr="000655C7">
              <w:rPr>
                <w:szCs w:val="22"/>
              </w:rPr>
              <w:t>tab</w:t>
            </w:r>
            <w:proofErr w:type="spellEnd"/>
          </w:p>
        </w:tc>
      </w:tr>
      <w:tr w:rsidR="001B43A9" w:rsidRPr="000655C7" w14:paraId="0D5DFDF3" w14:textId="77777777" w:rsidTr="001B43A9">
        <w:tc>
          <w:tcPr>
            <w:tcW w:w="1984" w:type="dxa"/>
          </w:tcPr>
          <w:p w14:paraId="14B0EB71" w14:textId="77777777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>4.</w:t>
            </w:r>
            <w:proofErr w:type="gramStart"/>
            <w:r w:rsidRPr="000655C7">
              <w:rPr>
                <w:szCs w:val="22"/>
              </w:rPr>
              <w:t>1 – 8</w:t>
            </w:r>
            <w:proofErr w:type="gramEnd"/>
            <w:r w:rsidRPr="000655C7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62450858" w14:textId="77777777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 xml:space="preserve">½ </w:t>
            </w:r>
            <w:proofErr w:type="spellStart"/>
            <w:r w:rsidRPr="000655C7">
              <w:rPr>
                <w:szCs w:val="22"/>
              </w:rPr>
              <w:t>tab</w:t>
            </w:r>
            <w:proofErr w:type="spellEnd"/>
          </w:p>
        </w:tc>
      </w:tr>
      <w:tr w:rsidR="001B43A9" w:rsidRPr="000655C7" w14:paraId="15D46D7F" w14:textId="77777777" w:rsidTr="001B43A9">
        <w:tc>
          <w:tcPr>
            <w:tcW w:w="1984" w:type="dxa"/>
          </w:tcPr>
          <w:p w14:paraId="69E40EEB" w14:textId="77777777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>8.</w:t>
            </w:r>
            <w:proofErr w:type="gramStart"/>
            <w:r w:rsidRPr="000655C7">
              <w:rPr>
                <w:szCs w:val="22"/>
              </w:rPr>
              <w:t>1 – 12</w:t>
            </w:r>
            <w:proofErr w:type="gramEnd"/>
            <w:r w:rsidRPr="000655C7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6D1D3DB0" w14:textId="18816D1D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 xml:space="preserve">¾ </w:t>
            </w:r>
            <w:proofErr w:type="spellStart"/>
            <w:r w:rsidRPr="000655C7">
              <w:rPr>
                <w:szCs w:val="22"/>
              </w:rPr>
              <w:t>tab</w:t>
            </w:r>
            <w:proofErr w:type="spellEnd"/>
          </w:p>
        </w:tc>
      </w:tr>
      <w:tr w:rsidR="001B43A9" w:rsidRPr="000655C7" w14:paraId="22B14244" w14:textId="77777777" w:rsidTr="001B43A9">
        <w:tc>
          <w:tcPr>
            <w:tcW w:w="1984" w:type="dxa"/>
          </w:tcPr>
          <w:p w14:paraId="11794BA0" w14:textId="77777777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lastRenderedPageBreak/>
              <w:t>12.</w:t>
            </w:r>
            <w:proofErr w:type="gramStart"/>
            <w:r w:rsidRPr="000655C7">
              <w:rPr>
                <w:szCs w:val="22"/>
              </w:rPr>
              <w:t>1 – 16</w:t>
            </w:r>
            <w:proofErr w:type="gramEnd"/>
            <w:r w:rsidRPr="000655C7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7556EC39" w14:textId="77777777" w:rsidR="001B43A9" w:rsidRPr="000655C7" w:rsidRDefault="001B43A9" w:rsidP="00FE379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655C7">
              <w:rPr>
                <w:szCs w:val="22"/>
              </w:rPr>
              <w:t xml:space="preserve">1 </w:t>
            </w:r>
            <w:proofErr w:type="spellStart"/>
            <w:r w:rsidRPr="000655C7">
              <w:rPr>
                <w:szCs w:val="22"/>
              </w:rPr>
              <w:t>tab</w:t>
            </w:r>
            <w:proofErr w:type="spellEnd"/>
          </w:p>
        </w:tc>
      </w:tr>
    </w:tbl>
    <w:p w14:paraId="02A0015E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</w:p>
    <w:p w14:paraId="655866ED" w14:textId="7F5E5F86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 xml:space="preserve">Pro zajištění správného dávkování </w:t>
      </w:r>
      <w:r w:rsidRPr="000655C7">
        <w:t>je třeba co nejpřesněji stanovit živou hmotnost.</w:t>
      </w:r>
    </w:p>
    <w:p w14:paraId="0B718DA8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Tablety jsou ochucené. Mohou být podávány přímo do dutiny ústní zvířete nebo s malým množstvím</w:t>
      </w:r>
    </w:p>
    <w:p w14:paraId="1E542DAA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potravy.</w:t>
      </w:r>
    </w:p>
    <w:p w14:paraId="1E689F1D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Pokyny k dělení tablet: Položte tabletu na rovný povrch stranou s rýhou dolů k povrchu (konvexní</w:t>
      </w:r>
    </w:p>
    <w:p w14:paraId="2EACD289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stranou nahoru). Lehkým vertikálním tlakem špičkou ukazováčku na střed tablety rozlomíte tabletu po</w:t>
      </w:r>
    </w:p>
    <w:p w14:paraId="371591AF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šířce na dvě poloviny. Chcete-li tabletu rozdělit na čtvrtiny, lehkým tlakem ukazováčku na střed jedné</w:t>
      </w:r>
    </w:p>
    <w:p w14:paraId="765D0663" w14:textId="5182BE1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poloviny ji rozlomíte na dvě části.</w:t>
      </w:r>
    </w:p>
    <w:p w14:paraId="13504C24" w14:textId="77777777" w:rsidR="00247A48" w:rsidRPr="000655C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0655C7" w:rsidRDefault="008E1CA4" w:rsidP="00B13B6D">
      <w:pPr>
        <w:pStyle w:val="Style1"/>
      </w:pPr>
      <w:r w:rsidRPr="000655C7">
        <w:t>3.10</w:t>
      </w:r>
      <w:r w:rsidRPr="000655C7">
        <w:tab/>
        <w:t xml:space="preserve">Příznaky předávkování </w:t>
      </w:r>
      <w:r w:rsidR="00EC5045" w:rsidRPr="000655C7">
        <w:t>(</w:t>
      </w:r>
      <w:r w:rsidRPr="000655C7">
        <w:t xml:space="preserve">a </w:t>
      </w:r>
      <w:r w:rsidR="00202A85" w:rsidRPr="000655C7">
        <w:t>kde</w:t>
      </w:r>
      <w:r w:rsidR="005E66FC" w:rsidRPr="000655C7">
        <w:t xml:space="preserve"> </w:t>
      </w:r>
      <w:r w:rsidR="00202A85" w:rsidRPr="000655C7">
        <w:t>je</w:t>
      </w:r>
      <w:r w:rsidR="005E66FC" w:rsidRPr="000655C7">
        <w:t xml:space="preserve"> </w:t>
      </w:r>
      <w:r w:rsidR="00FB6F2F" w:rsidRPr="000655C7">
        <w:t>relevantní</w:t>
      </w:r>
      <w:r w:rsidR="00202A85" w:rsidRPr="000655C7">
        <w:t>, první pomoc</w:t>
      </w:r>
      <w:r w:rsidRPr="000655C7">
        <w:t xml:space="preserve"> a </w:t>
      </w:r>
      <w:proofErr w:type="spellStart"/>
      <w:r w:rsidRPr="000655C7">
        <w:t>antidota</w:t>
      </w:r>
      <w:proofErr w:type="spellEnd"/>
      <w:r w:rsidR="00202A85" w:rsidRPr="000655C7">
        <w:t>)</w:t>
      </w:r>
      <w:r w:rsidRPr="000655C7">
        <w:t xml:space="preserve"> </w:t>
      </w:r>
    </w:p>
    <w:p w14:paraId="45A34650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5B5D2" w14:textId="628386F2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 xml:space="preserve">U psů perorální dávky </w:t>
      </w:r>
      <w:proofErr w:type="spellStart"/>
      <w:r w:rsidRPr="000655C7">
        <w:rPr>
          <w:szCs w:val="22"/>
        </w:rPr>
        <w:t>klindamycinu</w:t>
      </w:r>
      <w:proofErr w:type="spellEnd"/>
      <w:r w:rsidRPr="000655C7">
        <w:rPr>
          <w:szCs w:val="22"/>
        </w:rPr>
        <w:t xml:space="preserve"> až do 300 mg/kg/den nevedly k toxicitě. U psů, kterým bylo</w:t>
      </w:r>
    </w:p>
    <w:p w14:paraId="6C9D379E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 xml:space="preserve">podáváno 600 mg/kg/den </w:t>
      </w:r>
      <w:proofErr w:type="spellStart"/>
      <w:r w:rsidRPr="000655C7">
        <w:rPr>
          <w:szCs w:val="22"/>
        </w:rPr>
        <w:t>klindamycinu</w:t>
      </w:r>
      <w:proofErr w:type="spellEnd"/>
      <w:r w:rsidRPr="000655C7">
        <w:rPr>
          <w:szCs w:val="22"/>
        </w:rPr>
        <w:t xml:space="preserve"> se rozvinuly příznaky anorexie, zvracení a úbytky hmotnosti.</w:t>
      </w:r>
    </w:p>
    <w:p w14:paraId="7B490C46" w14:textId="6ADCE813" w:rsidR="001B43A9" w:rsidRPr="000655C7" w:rsidRDefault="00761C01" w:rsidP="001B43A9">
      <w:pPr>
        <w:tabs>
          <w:tab w:val="clear" w:pos="567"/>
        </w:tabs>
        <w:spacing w:line="240" w:lineRule="auto"/>
        <w:rPr>
          <w:szCs w:val="22"/>
        </w:rPr>
      </w:pPr>
      <w:bookmarkStart w:id="9" w:name="_Hlk201056376"/>
      <w:bookmarkStart w:id="10" w:name="_Hlk201055323"/>
      <w:r w:rsidRPr="00761C01">
        <w:rPr>
          <w:szCs w:val="22"/>
        </w:rPr>
        <w:t>V případě předávkování je nutné okamžitě ukončit léčbu a zahájit symptomatickou terapii.</w:t>
      </w:r>
      <w:bookmarkEnd w:id="9"/>
    </w:p>
    <w:bookmarkEnd w:id="10"/>
    <w:p w14:paraId="524BBDFF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</w:p>
    <w:p w14:paraId="49936D07" w14:textId="77777777" w:rsidR="001B43A9" w:rsidRPr="000655C7" w:rsidRDefault="001B43A9" w:rsidP="001B43A9">
      <w:pPr>
        <w:pStyle w:val="Style1"/>
      </w:pPr>
      <w:r w:rsidRPr="000655C7">
        <w:t>3.11</w:t>
      </w:r>
      <w:r w:rsidRPr="000655C7">
        <w:tab/>
        <w:t xml:space="preserve">Zvláštní omezení pro použití a zvláštní podmínky pro použití, včetně omezení používání antimikrobních a </w:t>
      </w:r>
      <w:proofErr w:type="spellStart"/>
      <w:r w:rsidRPr="000655C7">
        <w:t>antiparazitárních</w:t>
      </w:r>
      <w:proofErr w:type="spellEnd"/>
      <w:r w:rsidRPr="000655C7">
        <w:t xml:space="preserve"> veterinárních léčivých přípravků, za účelem snížení rizika rozvoje rezistence</w:t>
      </w:r>
    </w:p>
    <w:p w14:paraId="37CA9363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</w:p>
    <w:p w14:paraId="718521BE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t>Neuplatňuje se.</w:t>
      </w:r>
    </w:p>
    <w:p w14:paraId="23184928" w14:textId="77777777" w:rsidR="009A6509" w:rsidRPr="000655C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0655C7" w:rsidRDefault="008E1CA4" w:rsidP="00B13B6D">
      <w:pPr>
        <w:pStyle w:val="Style1"/>
      </w:pPr>
      <w:r w:rsidRPr="000655C7">
        <w:t>3.12</w:t>
      </w:r>
      <w:r w:rsidRPr="000655C7">
        <w:tab/>
        <w:t>Ochranné lhůty</w:t>
      </w:r>
    </w:p>
    <w:p w14:paraId="2DC95067" w14:textId="77777777" w:rsidR="00C114FF" w:rsidRPr="000655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BB1460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t>Neuplatňuje se.</w:t>
      </w:r>
    </w:p>
    <w:p w14:paraId="35946CB6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0655C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CBE808F" w:rsidR="00C114FF" w:rsidRPr="000655C7" w:rsidRDefault="008E1CA4" w:rsidP="00444FE1">
      <w:pPr>
        <w:pStyle w:val="Style1"/>
        <w:keepNext/>
      </w:pPr>
      <w:r w:rsidRPr="000655C7">
        <w:t>4.</w:t>
      </w:r>
      <w:r w:rsidRPr="000655C7">
        <w:tab/>
        <w:t>FARMAKOLOGICKÉ INFORMACE</w:t>
      </w:r>
    </w:p>
    <w:p w14:paraId="2C2A4C50" w14:textId="77777777" w:rsidR="00C114FF" w:rsidRPr="000655C7" w:rsidRDefault="00C114FF" w:rsidP="00444FE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2E5B0A78" w:rsidR="00C114FF" w:rsidRPr="000655C7" w:rsidRDefault="008E1CA4" w:rsidP="00444FE1">
      <w:pPr>
        <w:pStyle w:val="Style1"/>
        <w:keepNext/>
      </w:pPr>
      <w:r w:rsidRPr="000655C7">
        <w:t>4.1</w:t>
      </w:r>
      <w:r w:rsidRPr="000655C7">
        <w:tab/>
        <w:t>ATCvet kód:</w:t>
      </w:r>
      <w:r w:rsidR="00554C27" w:rsidRPr="000655C7">
        <w:t xml:space="preserve"> </w:t>
      </w:r>
      <w:r w:rsidR="001B43A9" w:rsidRPr="000655C7">
        <w:rPr>
          <w:b w:val="0"/>
        </w:rPr>
        <w:t>QJ01FF01</w:t>
      </w:r>
    </w:p>
    <w:p w14:paraId="5C965196" w14:textId="77777777" w:rsidR="00C114FF" w:rsidRPr="000655C7" w:rsidRDefault="00C114FF" w:rsidP="00444FE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6A5996A2" w:rsidR="00C114FF" w:rsidRPr="000655C7" w:rsidRDefault="008E1CA4" w:rsidP="00444FE1">
      <w:pPr>
        <w:pStyle w:val="Style1"/>
        <w:keepNext/>
      </w:pPr>
      <w:r w:rsidRPr="000655C7">
        <w:t>4.2</w:t>
      </w:r>
      <w:r w:rsidRPr="000655C7">
        <w:tab/>
        <w:t>Farmakodynamika</w:t>
      </w:r>
    </w:p>
    <w:p w14:paraId="50FA42E3" w14:textId="77777777" w:rsidR="00C114FF" w:rsidRPr="000655C7" w:rsidRDefault="00C114FF" w:rsidP="00444FE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1532D14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655C7">
        <w:rPr>
          <w:szCs w:val="22"/>
          <w:u w:val="single"/>
        </w:rPr>
        <w:t>Mechanismus účinku</w:t>
      </w:r>
    </w:p>
    <w:p w14:paraId="7BF2711F" w14:textId="6EAF4FBE" w:rsidR="001B43A9" w:rsidRPr="000655C7" w:rsidRDefault="001B43A9" w:rsidP="003A54B2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0655C7">
        <w:rPr>
          <w:szCs w:val="22"/>
        </w:rPr>
        <w:t>Klindamycin</w:t>
      </w:r>
      <w:proofErr w:type="spellEnd"/>
      <w:r w:rsidRPr="000655C7">
        <w:rPr>
          <w:szCs w:val="22"/>
        </w:rPr>
        <w:t xml:space="preserve"> je </w:t>
      </w:r>
      <w:proofErr w:type="spellStart"/>
      <w:r w:rsidRPr="000655C7">
        <w:rPr>
          <w:szCs w:val="22"/>
        </w:rPr>
        <w:t>semi</w:t>
      </w:r>
      <w:proofErr w:type="spellEnd"/>
      <w:r w:rsidRPr="000655C7">
        <w:rPr>
          <w:szCs w:val="22"/>
        </w:rPr>
        <w:t xml:space="preserve">-syntetické antibiotikum </w:t>
      </w:r>
      <w:r w:rsidR="003C2C02">
        <w:rPr>
          <w:szCs w:val="22"/>
        </w:rPr>
        <w:t>vyráběné</w:t>
      </w:r>
      <w:r w:rsidR="00CD074A">
        <w:rPr>
          <w:szCs w:val="22"/>
        </w:rPr>
        <w:t xml:space="preserve"> </w:t>
      </w:r>
      <w:r w:rsidRPr="000655C7">
        <w:rPr>
          <w:szCs w:val="22"/>
        </w:rPr>
        <w:t>7 (S)-chlor substitucí 7 (R)-</w:t>
      </w:r>
      <w:proofErr w:type="spellStart"/>
      <w:r w:rsidRPr="000655C7">
        <w:rPr>
          <w:szCs w:val="22"/>
        </w:rPr>
        <w:t>hydroxy</w:t>
      </w:r>
      <w:proofErr w:type="spellEnd"/>
      <w:r w:rsidRPr="000655C7">
        <w:rPr>
          <w:szCs w:val="22"/>
        </w:rPr>
        <w:t xml:space="preserve"> skupiny</w:t>
      </w:r>
      <w:r w:rsidR="003A54B2" w:rsidRPr="000655C7">
        <w:rPr>
          <w:szCs w:val="22"/>
        </w:rPr>
        <w:t xml:space="preserve"> </w:t>
      </w:r>
      <w:r w:rsidRPr="000655C7">
        <w:rPr>
          <w:szCs w:val="22"/>
        </w:rPr>
        <w:t xml:space="preserve">přírodních antibiotik produkovaných </w:t>
      </w:r>
      <w:proofErr w:type="spellStart"/>
      <w:r w:rsidRPr="008914B6">
        <w:rPr>
          <w:i/>
          <w:szCs w:val="22"/>
        </w:rPr>
        <w:t>Streptomyces</w:t>
      </w:r>
      <w:proofErr w:type="spellEnd"/>
      <w:r w:rsidRPr="008914B6">
        <w:rPr>
          <w:i/>
          <w:szCs w:val="22"/>
        </w:rPr>
        <w:t xml:space="preserve"> </w:t>
      </w:r>
      <w:proofErr w:type="spellStart"/>
      <w:r w:rsidRPr="008914B6">
        <w:rPr>
          <w:i/>
          <w:szCs w:val="22"/>
        </w:rPr>
        <w:t>lincolnensis</w:t>
      </w:r>
      <w:proofErr w:type="spellEnd"/>
      <w:r w:rsidRPr="000655C7">
        <w:rPr>
          <w:szCs w:val="22"/>
        </w:rPr>
        <w:t xml:space="preserve"> var. </w:t>
      </w:r>
      <w:proofErr w:type="spellStart"/>
      <w:r w:rsidRPr="008914B6">
        <w:rPr>
          <w:i/>
          <w:szCs w:val="22"/>
        </w:rPr>
        <w:t>lincolnensis</w:t>
      </w:r>
      <w:proofErr w:type="spellEnd"/>
      <w:r w:rsidRPr="000655C7">
        <w:rPr>
          <w:szCs w:val="22"/>
        </w:rPr>
        <w:t>.</w:t>
      </w:r>
    </w:p>
    <w:p w14:paraId="5522E0D1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</w:p>
    <w:p w14:paraId="2A7E34FA" w14:textId="1F0C7C58" w:rsidR="00CD074A" w:rsidRPr="000655C7" w:rsidRDefault="00CD074A" w:rsidP="003A54B2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1" w:name="_Hlk201056424"/>
      <w:bookmarkStart w:id="12" w:name="_Hlk201055354"/>
      <w:proofErr w:type="spellStart"/>
      <w:r w:rsidRPr="00CD074A">
        <w:rPr>
          <w:szCs w:val="22"/>
        </w:rPr>
        <w:t>Klindamycin</w:t>
      </w:r>
      <w:proofErr w:type="spellEnd"/>
      <w:r w:rsidRPr="00CD074A">
        <w:rPr>
          <w:szCs w:val="22"/>
        </w:rPr>
        <w:t xml:space="preserve"> působí bakteriostatickým mechanismem účinku, při kterém narušuje syntézu bílkovin uvnitř bakteriální buňky, čímž inhibuje růst a množení bakterií. </w:t>
      </w:r>
      <w:proofErr w:type="spellStart"/>
      <w:r w:rsidRPr="00CD074A">
        <w:rPr>
          <w:szCs w:val="22"/>
        </w:rPr>
        <w:t>Klindamycin</w:t>
      </w:r>
      <w:proofErr w:type="spellEnd"/>
      <w:r w:rsidRPr="00CD074A">
        <w:rPr>
          <w:szCs w:val="22"/>
        </w:rPr>
        <w:t xml:space="preserve"> se váže na </w:t>
      </w:r>
      <w:proofErr w:type="gramStart"/>
      <w:r w:rsidRPr="00CD074A">
        <w:rPr>
          <w:szCs w:val="22"/>
        </w:rPr>
        <w:t>23S</w:t>
      </w:r>
      <w:proofErr w:type="gramEnd"/>
      <w:r w:rsidRPr="00CD074A">
        <w:rPr>
          <w:szCs w:val="22"/>
        </w:rPr>
        <w:t xml:space="preserve"> ribozomální RNA součásti 50S podjednotky ribozomu. Tímto dochází k blokování vazby aminokyselin na ribozomy</w:t>
      </w:r>
      <w:r w:rsidR="004E7ACD">
        <w:rPr>
          <w:szCs w:val="22"/>
        </w:rPr>
        <w:t>,</w:t>
      </w:r>
      <w:r w:rsidRPr="00CD074A">
        <w:rPr>
          <w:szCs w:val="22"/>
        </w:rPr>
        <w:t xml:space="preserve"> </w:t>
      </w:r>
      <w:r w:rsidR="004E7ACD">
        <w:rPr>
          <w:szCs w:val="22"/>
        </w:rPr>
        <w:t>v důsledku čehož je inhibována tvorba peptidových vazeb</w:t>
      </w:r>
      <w:r w:rsidRPr="00CD074A">
        <w:rPr>
          <w:szCs w:val="22"/>
        </w:rPr>
        <w:t xml:space="preserve">. Vazebná místa ribozomu jsou blízká </w:t>
      </w:r>
      <w:r w:rsidR="004E7ACD">
        <w:rPr>
          <w:szCs w:val="22"/>
        </w:rPr>
        <w:t>těm,</w:t>
      </w:r>
      <w:r w:rsidRPr="00CD074A">
        <w:rPr>
          <w:szCs w:val="22"/>
        </w:rPr>
        <w:t xml:space="preserve"> na která se vážou </w:t>
      </w:r>
      <w:proofErr w:type="spellStart"/>
      <w:r w:rsidRPr="00CD074A">
        <w:rPr>
          <w:szCs w:val="22"/>
        </w:rPr>
        <w:t>makrolidy</w:t>
      </w:r>
      <w:proofErr w:type="spellEnd"/>
      <w:r w:rsidRPr="00CD074A">
        <w:rPr>
          <w:szCs w:val="22"/>
        </w:rPr>
        <w:t xml:space="preserve">, </w:t>
      </w:r>
      <w:proofErr w:type="spellStart"/>
      <w:r w:rsidRPr="00CD074A">
        <w:rPr>
          <w:szCs w:val="22"/>
        </w:rPr>
        <w:t>streptograminy</w:t>
      </w:r>
      <w:proofErr w:type="spellEnd"/>
      <w:r w:rsidRPr="00CD074A">
        <w:rPr>
          <w:szCs w:val="22"/>
        </w:rPr>
        <w:t xml:space="preserve"> nebo chloramfenikol.</w:t>
      </w:r>
      <w:bookmarkEnd w:id="11"/>
    </w:p>
    <w:bookmarkEnd w:id="12"/>
    <w:p w14:paraId="070C167D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</w:p>
    <w:p w14:paraId="45DEC4D9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655C7">
        <w:rPr>
          <w:szCs w:val="22"/>
          <w:u w:val="single"/>
        </w:rPr>
        <w:t>Antibakteriální spektrum</w:t>
      </w:r>
    </w:p>
    <w:p w14:paraId="0E3298D2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655C7">
        <w:rPr>
          <w:szCs w:val="22"/>
        </w:rPr>
        <w:t>Klindamycin</w:t>
      </w:r>
      <w:proofErr w:type="spellEnd"/>
      <w:r w:rsidRPr="000655C7">
        <w:rPr>
          <w:szCs w:val="22"/>
        </w:rPr>
        <w:t xml:space="preserve"> je léčivá látka se středně širokým spektrem účinku.</w:t>
      </w:r>
    </w:p>
    <w:p w14:paraId="52BB3692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</w:p>
    <w:p w14:paraId="461D578D" w14:textId="00763AD2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Citlivé mikroorganizmy (C):</w:t>
      </w:r>
    </w:p>
    <w:p w14:paraId="6EB49CF4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655C7">
        <w:rPr>
          <w:szCs w:val="22"/>
        </w:rPr>
        <w:t>Klindamycin</w:t>
      </w:r>
      <w:proofErr w:type="spellEnd"/>
      <w:r w:rsidRPr="000655C7">
        <w:rPr>
          <w:szCs w:val="22"/>
        </w:rPr>
        <w:t xml:space="preserve"> je </w:t>
      </w:r>
      <w:r w:rsidRPr="000655C7">
        <w:rPr>
          <w:i/>
          <w:iCs/>
          <w:szCs w:val="22"/>
        </w:rPr>
        <w:t>in vitro</w:t>
      </w:r>
      <w:r w:rsidRPr="000655C7">
        <w:rPr>
          <w:szCs w:val="22"/>
        </w:rPr>
        <w:t xml:space="preserve"> účinný proti následujícím mikroorganizmům (viz následující MIC):</w:t>
      </w:r>
    </w:p>
    <w:p w14:paraId="21F62997" w14:textId="45ABF866" w:rsidR="001B43A9" w:rsidRPr="000655C7" w:rsidRDefault="001B43A9" w:rsidP="001B43A9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0655C7">
        <w:rPr>
          <w:szCs w:val="22"/>
        </w:rPr>
        <w:t xml:space="preserve">• Aerobní </w:t>
      </w:r>
      <w:proofErr w:type="spellStart"/>
      <w:r w:rsidRPr="000655C7">
        <w:rPr>
          <w:szCs w:val="22"/>
        </w:rPr>
        <w:t>grampozitivní</w:t>
      </w:r>
      <w:proofErr w:type="spellEnd"/>
      <w:r w:rsidRPr="000655C7">
        <w:rPr>
          <w:szCs w:val="22"/>
        </w:rPr>
        <w:t xml:space="preserve"> koky</w:t>
      </w:r>
      <w:r w:rsidR="00CD074A">
        <w:rPr>
          <w:szCs w:val="22"/>
        </w:rPr>
        <w:t>,</w:t>
      </w:r>
      <w:r w:rsidRPr="000655C7">
        <w:rPr>
          <w:szCs w:val="22"/>
        </w:rPr>
        <w:t xml:space="preserve"> včetně: </w:t>
      </w:r>
      <w:proofErr w:type="spellStart"/>
      <w:r w:rsidRPr="000655C7">
        <w:rPr>
          <w:i/>
          <w:iCs/>
          <w:szCs w:val="22"/>
        </w:rPr>
        <w:t>Staphylococcus</w:t>
      </w:r>
      <w:proofErr w:type="spellEnd"/>
      <w:r w:rsidRPr="000655C7">
        <w:rPr>
          <w:i/>
          <w:iCs/>
          <w:szCs w:val="22"/>
        </w:rPr>
        <w:t xml:space="preserve"> aureus </w:t>
      </w:r>
      <w:r w:rsidRPr="000655C7">
        <w:rPr>
          <w:szCs w:val="22"/>
        </w:rPr>
        <w:t xml:space="preserve">a </w:t>
      </w:r>
      <w:r w:rsidRPr="000655C7">
        <w:rPr>
          <w:i/>
          <w:iCs/>
          <w:szCs w:val="22"/>
        </w:rPr>
        <w:t>Staphylococcus</w:t>
      </w:r>
    </w:p>
    <w:p w14:paraId="7BA63D86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655C7">
        <w:rPr>
          <w:i/>
          <w:iCs/>
          <w:szCs w:val="22"/>
        </w:rPr>
        <w:t>pseudintermedius</w:t>
      </w:r>
      <w:proofErr w:type="spellEnd"/>
      <w:r w:rsidRPr="000655C7">
        <w:rPr>
          <w:i/>
          <w:iCs/>
          <w:szCs w:val="22"/>
        </w:rPr>
        <w:t xml:space="preserve"> </w:t>
      </w:r>
      <w:r w:rsidRPr="000655C7">
        <w:rPr>
          <w:szCs w:val="22"/>
        </w:rPr>
        <w:t>(</w:t>
      </w:r>
      <w:proofErr w:type="spellStart"/>
      <w:r w:rsidRPr="000655C7">
        <w:rPr>
          <w:szCs w:val="22"/>
        </w:rPr>
        <w:t>penicilináza</w:t>
      </w:r>
      <w:proofErr w:type="spellEnd"/>
      <w:r w:rsidRPr="000655C7">
        <w:rPr>
          <w:szCs w:val="22"/>
        </w:rPr>
        <w:t xml:space="preserve"> pozitivní i negativní kmeny), </w:t>
      </w:r>
      <w:proofErr w:type="spellStart"/>
      <w:r w:rsidRPr="000655C7">
        <w:rPr>
          <w:i/>
          <w:iCs/>
          <w:szCs w:val="22"/>
        </w:rPr>
        <w:t>Streptococcus</w:t>
      </w:r>
      <w:proofErr w:type="spellEnd"/>
      <w:r w:rsidRPr="000655C7">
        <w:rPr>
          <w:i/>
          <w:iCs/>
          <w:szCs w:val="22"/>
        </w:rPr>
        <w:t xml:space="preserve"> </w:t>
      </w:r>
      <w:proofErr w:type="spellStart"/>
      <w:r w:rsidRPr="000655C7">
        <w:rPr>
          <w:szCs w:val="22"/>
        </w:rPr>
        <w:t>spp</w:t>
      </w:r>
      <w:proofErr w:type="spellEnd"/>
      <w:r w:rsidRPr="000655C7">
        <w:rPr>
          <w:szCs w:val="22"/>
        </w:rPr>
        <w:t>. (s výjimkou</w:t>
      </w:r>
    </w:p>
    <w:p w14:paraId="33933C4F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655C7">
        <w:rPr>
          <w:i/>
          <w:iCs/>
          <w:szCs w:val="22"/>
        </w:rPr>
        <w:t>Enterococcus</w:t>
      </w:r>
      <w:proofErr w:type="spellEnd"/>
      <w:r w:rsidRPr="000655C7">
        <w:rPr>
          <w:i/>
          <w:iCs/>
          <w:szCs w:val="22"/>
        </w:rPr>
        <w:t xml:space="preserve"> </w:t>
      </w:r>
      <w:proofErr w:type="spellStart"/>
      <w:r w:rsidRPr="000655C7">
        <w:rPr>
          <w:i/>
          <w:iCs/>
          <w:szCs w:val="22"/>
        </w:rPr>
        <w:t>faecalis</w:t>
      </w:r>
      <w:proofErr w:type="spellEnd"/>
      <w:r w:rsidRPr="000655C7">
        <w:rPr>
          <w:szCs w:val="22"/>
        </w:rPr>
        <w:t>).</w:t>
      </w:r>
    </w:p>
    <w:p w14:paraId="327D7BA4" w14:textId="46C3193C" w:rsidR="001B43A9" w:rsidRPr="000655C7" w:rsidRDefault="001B43A9" w:rsidP="001B43A9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0655C7">
        <w:rPr>
          <w:szCs w:val="22"/>
        </w:rPr>
        <w:t>• Anaerobní gramnegativní tyčinky</w:t>
      </w:r>
      <w:r w:rsidR="00CD074A">
        <w:rPr>
          <w:szCs w:val="22"/>
        </w:rPr>
        <w:t>,</w:t>
      </w:r>
      <w:r w:rsidRPr="000655C7">
        <w:rPr>
          <w:szCs w:val="22"/>
        </w:rPr>
        <w:t xml:space="preserve"> včetně: </w:t>
      </w:r>
      <w:proofErr w:type="spellStart"/>
      <w:r w:rsidRPr="000655C7">
        <w:rPr>
          <w:i/>
          <w:iCs/>
          <w:szCs w:val="22"/>
        </w:rPr>
        <w:t>Bacteroides</w:t>
      </w:r>
      <w:proofErr w:type="spellEnd"/>
      <w:r w:rsidRPr="000655C7">
        <w:rPr>
          <w:i/>
          <w:iCs/>
          <w:szCs w:val="22"/>
        </w:rPr>
        <w:t xml:space="preserve"> </w:t>
      </w:r>
      <w:proofErr w:type="spellStart"/>
      <w:r w:rsidRPr="000655C7">
        <w:rPr>
          <w:szCs w:val="22"/>
        </w:rPr>
        <w:t>spp</w:t>
      </w:r>
      <w:proofErr w:type="spellEnd"/>
      <w:r w:rsidRPr="000655C7">
        <w:rPr>
          <w:szCs w:val="22"/>
        </w:rPr>
        <w:t xml:space="preserve">., </w:t>
      </w:r>
      <w:proofErr w:type="spellStart"/>
      <w:r w:rsidRPr="000655C7">
        <w:rPr>
          <w:i/>
          <w:iCs/>
          <w:szCs w:val="22"/>
        </w:rPr>
        <w:t>Fusobacterium</w:t>
      </w:r>
      <w:proofErr w:type="spellEnd"/>
      <w:r w:rsidRPr="000655C7">
        <w:rPr>
          <w:i/>
          <w:iCs/>
          <w:szCs w:val="22"/>
        </w:rPr>
        <w:t xml:space="preserve"> </w:t>
      </w:r>
      <w:proofErr w:type="spellStart"/>
      <w:r w:rsidRPr="000655C7">
        <w:rPr>
          <w:i/>
          <w:iCs/>
          <w:szCs w:val="22"/>
        </w:rPr>
        <w:t>necrophorum</w:t>
      </w:r>
      <w:proofErr w:type="spellEnd"/>
      <w:r w:rsidRPr="000655C7">
        <w:rPr>
          <w:i/>
          <w:iCs/>
          <w:szCs w:val="22"/>
        </w:rPr>
        <w:t>.</w:t>
      </w:r>
    </w:p>
    <w:p w14:paraId="12FD0D5C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 xml:space="preserve">• Klostridia: většina kmenů </w:t>
      </w:r>
      <w:r w:rsidRPr="000655C7">
        <w:rPr>
          <w:i/>
          <w:iCs/>
          <w:szCs w:val="22"/>
        </w:rPr>
        <w:t xml:space="preserve">Clostridium </w:t>
      </w:r>
      <w:proofErr w:type="spellStart"/>
      <w:r w:rsidRPr="000655C7">
        <w:rPr>
          <w:i/>
          <w:iCs/>
          <w:szCs w:val="22"/>
        </w:rPr>
        <w:t>perfringens</w:t>
      </w:r>
      <w:proofErr w:type="spellEnd"/>
      <w:r w:rsidRPr="000655C7">
        <w:rPr>
          <w:i/>
          <w:iCs/>
          <w:szCs w:val="22"/>
        </w:rPr>
        <w:t xml:space="preserve"> </w:t>
      </w:r>
      <w:r w:rsidRPr="000655C7">
        <w:rPr>
          <w:szCs w:val="22"/>
        </w:rPr>
        <w:t>je citlivá.</w:t>
      </w:r>
    </w:p>
    <w:p w14:paraId="763BD68D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10F6408A" w14:textId="259C3F79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655C7">
        <w:rPr>
          <w:szCs w:val="22"/>
          <w:u w:val="single"/>
        </w:rPr>
        <w:t>Údaje o MIC</w:t>
      </w:r>
    </w:p>
    <w:p w14:paraId="424259E4" w14:textId="3252D226" w:rsidR="001B43A9" w:rsidRPr="000655C7" w:rsidRDefault="001B43A9" w:rsidP="003A54B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655C7">
        <w:rPr>
          <w:szCs w:val="22"/>
        </w:rPr>
        <w:lastRenderedPageBreak/>
        <w:t xml:space="preserve">Jsou dostupné veterinární hraniční hodnoty (CLSI) </w:t>
      </w:r>
      <w:proofErr w:type="spellStart"/>
      <w:r w:rsidRPr="000655C7">
        <w:rPr>
          <w:szCs w:val="22"/>
        </w:rPr>
        <w:t>klindamycinu</w:t>
      </w:r>
      <w:proofErr w:type="spellEnd"/>
      <w:r w:rsidRPr="000655C7">
        <w:rPr>
          <w:szCs w:val="22"/>
        </w:rPr>
        <w:t xml:space="preserve"> pro psy pro infekce kůže a</w:t>
      </w:r>
      <w:r w:rsidR="003A54B2" w:rsidRPr="000655C7">
        <w:rPr>
          <w:szCs w:val="22"/>
        </w:rPr>
        <w:t> </w:t>
      </w:r>
      <w:r w:rsidRPr="000655C7">
        <w:rPr>
          <w:szCs w:val="22"/>
        </w:rPr>
        <w:t>infekce</w:t>
      </w:r>
      <w:r w:rsidR="003A54B2" w:rsidRPr="000655C7">
        <w:rPr>
          <w:szCs w:val="22"/>
        </w:rPr>
        <w:t xml:space="preserve"> </w:t>
      </w:r>
      <w:r w:rsidRPr="000655C7">
        <w:rPr>
          <w:szCs w:val="22"/>
        </w:rPr>
        <w:t xml:space="preserve">měkkých tkání </w:t>
      </w:r>
      <w:r w:rsidR="004E7ACD">
        <w:rPr>
          <w:szCs w:val="22"/>
        </w:rPr>
        <w:t>vyvolané</w:t>
      </w:r>
      <w:r w:rsidR="004E7ACD" w:rsidRPr="000655C7">
        <w:rPr>
          <w:szCs w:val="22"/>
        </w:rPr>
        <w:t xml:space="preserve"> </w:t>
      </w:r>
      <w:proofErr w:type="spellStart"/>
      <w:r w:rsidRPr="000655C7">
        <w:rPr>
          <w:i/>
          <w:iCs/>
          <w:szCs w:val="22"/>
        </w:rPr>
        <w:t>Staphylococcus</w:t>
      </w:r>
      <w:proofErr w:type="spellEnd"/>
      <w:r w:rsidRPr="000655C7">
        <w:rPr>
          <w:i/>
          <w:iCs/>
          <w:szCs w:val="22"/>
        </w:rPr>
        <w:t xml:space="preserve"> </w:t>
      </w:r>
      <w:proofErr w:type="spellStart"/>
      <w:r w:rsidRPr="000655C7">
        <w:rPr>
          <w:szCs w:val="22"/>
        </w:rPr>
        <w:t>spp</w:t>
      </w:r>
      <w:proofErr w:type="spellEnd"/>
      <w:r w:rsidRPr="000655C7">
        <w:rPr>
          <w:szCs w:val="22"/>
        </w:rPr>
        <w:t>. a beta-hemolytickými streptokoky:</w:t>
      </w:r>
      <w:r w:rsidR="003A54B2" w:rsidRPr="000655C7">
        <w:rPr>
          <w:szCs w:val="22"/>
        </w:rPr>
        <w:t xml:space="preserve"> </w:t>
      </w:r>
      <w:r w:rsidRPr="000655C7">
        <w:rPr>
          <w:szCs w:val="22"/>
        </w:rPr>
        <w:t xml:space="preserve">C ≤ 0,5 </w:t>
      </w:r>
      <w:proofErr w:type="spellStart"/>
      <w:r w:rsidRPr="000655C7">
        <w:rPr>
          <w:szCs w:val="22"/>
        </w:rPr>
        <w:t>μg</w:t>
      </w:r>
      <w:proofErr w:type="spellEnd"/>
      <w:r w:rsidRPr="000655C7">
        <w:rPr>
          <w:szCs w:val="22"/>
        </w:rPr>
        <w:t xml:space="preserve">/ml; I = 1-2 </w:t>
      </w:r>
      <w:proofErr w:type="spellStart"/>
      <w:r w:rsidRPr="000655C7">
        <w:rPr>
          <w:szCs w:val="22"/>
        </w:rPr>
        <w:t>μg</w:t>
      </w:r>
      <w:proofErr w:type="spellEnd"/>
      <w:r w:rsidRPr="000655C7">
        <w:rPr>
          <w:szCs w:val="22"/>
        </w:rPr>
        <w:t xml:space="preserve">/ml; R ≥ 4 </w:t>
      </w:r>
      <w:proofErr w:type="spellStart"/>
      <w:r w:rsidRPr="000655C7">
        <w:rPr>
          <w:szCs w:val="22"/>
        </w:rPr>
        <w:t>μg</w:t>
      </w:r>
      <w:proofErr w:type="spellEnd"/>
      <w:r w:rsidRPr="000655C7">
        <w:rPr>
          <w:szCs w:val="22"/>
        </w:rPr>
        <w:t>/ml. (CLSI, červenec 2013).</w:t>
      </w:r>
    </w:p>
    <w:p w14:paraId="7DFC99E5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</w:p>
    <w:p w14:paraId="0D5AEDFA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655C7">
        <w:rPr>
          <w:szCs w:val="22"/>
          <w:u w:val="single"/>
        </w:rPr>
        <w:t>Typ a mechanismus rezistence</w:t>
      </w:r>
    </w:p>
    <w:p w14:paraId="58A1EC86" w14:textId="01D36D11" w:rsidR="001B43A9" w:rsidRPr="000655C7" w:rsidRDefault="001B43A9" w:rsidP="003A54B2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0655C7">
        <w:rPr>
          <w:szCs w:val="22"/>
        </w:rPr>
        <w:t>Klindamycin</w:t>
      </w:r>
      <w:proofErr w:type="spellEnd"/>
      <w:r w:rsidRPr="000655C7">
        <w:rPr>
          <w:szCs w:val="22"/>
        </w:rPr>
        <w:t xml:space="preserve"> patří do </w:t>
      </w:r>
      <w:proofErr w:type="spellStart"/>
      <w:r w:rsidRPr="000655C7">
        <w:rPr>
          <w:szCs w:val="22"/>
        </w:rPr>
        <w:t>linkosamidové</w:t>
      </w:r>
      <w:proofErr w:type="spellEnd"/>
      <w:r w:rsidRPr="000655C7">
        <w:rPr>
          <w:szCs w:val="22"/>
        </w:rPr>
        <w:t xml:space="preserve"> skupiny antibiotik. </w:t>
      </w:r>
      <w:bookmarkStart w:id="13" w:name="_Hlk201055453"/>
      <w:r w:rsidR="008010C0">
        <w:rPr>
          <w:szCs w:val="22"/>
        </w:rPr>
        <w:t>R</w:t>
      </w:r>
      <w:r w:rsidR="008010C0" w:rsidRPr="008010C0">
        <w:rPr>
          <w:szCs w:val="22"/>
        </w:rPr>
        <w:t xml:space="preserve">ezistence se může vyvinout specificky vůči </w:t>
      </w:r>
      <w:proofErr w:type="spellStart"/>
      <w:r w:rsidR="008010C0" w:rsidRPr="008010C0">
        <w:rPr>
          <w:szCs w:val="22"/>
        </w:rPr>
        <w:t>linkosamidům</w:t>
      </w:r>
      <w:proofErr w:type="spellEnd"/>
      <w:r w:rsidR="008010C0" w:rsidRPr="008010C0">
        <w:rPr>
          <w:szCs w:val="22"/>
        </w:rPr>
        <w:t xml:space="preserve">, častěji však dochází ke zkřížené rezistenci mezi </w:t>
      </w:r>
      <w:proofErr w:type="spellStart"/>
      <w:r w:rsidR="008010C0" w:rsidRPr="008010C0">
        <w:rPr>
          <w:szCs w:val="22"/>
        </w:rPr>
        <w:t>makrolidy</w:t>
      </w:r>
      <w:proofErr w:type="spellEnd"/>
      <w:r w:rsidR="008010C0" w:rsidRPr="008010C0">
        <w:rPr>
          <w:szCs w:val="22"/>
        </w:rPr>
        <w:t xml:space="preserve">, </w:t>
      </w:r>
      <w:proofErr w:type="spellStart"/>
      <w:r w:rsidR="008010C0" w:rsidRPr="008010C0">
        <w:rPr>
          <w:szCs w:val="22"/>
        </w:rPr>
        <w:t>linkosamidy</w:t>
      </w:r>
      <w:proofErr w:type="spellEnd"/>
      <w:r w:rsidR="008010C0" w:rsidRPr="008010C0">
        <w:rPr>
          <w:szCs w:val="22"/>
        </w:rPr>
        <w:t xml:space="preserve"> a </w:t>
      </w:r>
      <w:proofErr w:type="spellStart"/>
      <w:r w:rsidR="008010C0" w:rsidRPr="008010C0">
        <w:rPr>
          <w:szCs w:val="22"/>
        </w:rPr>
        <w:t>streptograminy</w:t>
      </w:r>
      <w:proofErr w:type="spellEnd"/>
      <w:r w:rsidR="008010C0" w:rsidRPr="008010C0">
        <w:rPr>
          <w:szCs w:val="22"/>
        </w:rPr>
        <w:t xml:space="preserve"> B (skupina MLSB)</w:t>
      </w:r>
      <w:r w:rsidRPr="000655C7">
        <w:rPr>
          <w:szCs w:val="22"/>
        </w:rPr>
        <w:t xml:space="preserve">. </w:t>
      </w:r>
      <w:r w:rsidR="008010C0" w:rsidRPr="008010C0">
        <w:rPr>
          <w:szCs w:val="22"/>
        </w:rPr>
        <w:t xml:space="preserve">Mechanismus rezistence spočívá v metylaci adeninových zbytků v molekule </w:t>
      </w:r>
      <w:proofErr w:type="gramStart"/>
      <w:r w:rsidR="008010C0" w:rsidRPr="008010C0">
        <w:rPr>
          <w:szCs w:val="22"/>
        </w:rPr>
        <w:t>23S</w:t>
      </w:r>
      <w:proofErr w:type="gramEnd"/>
      <w:r w:rsidR="008010C0" w:rsidRPr="008010C0">
        <w:rPr>
          <w:szCs w:val="22"/>
        </w:rPr>
        <w:t xml:space="preserve"> RNA 50S ribozomální podjednotky, což brání navázání antibiotika na cílové místo</w:t>
      </w:r>
      <w:r w:rsidRPr="000655C7">
        <w:rPr>
          <w:szCs w:val="22"/>
        </w:rPr>
        <w:t xml:space="preserve">. </w:t>
      </w:r>
      <w:bookmarkEnd w:id="13"/>
      <w:r w:rsidRPr="000655C7">
        <w:rPr>
          <w:szCs w:val="22"/>
        </w:rPr>
        <w:t>Různé</w:t>
      </w:r>
      <w:r w:rsidR="003A54B2" w:rsidRPr="000655C7">
        <w:rPr>
          <w:szCs w:val="22"/>
        </w:rPr>
        <w:t xml:space="preserve"> </w:t>
      </w:r>
      <w:r w:rsidRPr="000655C7">
        <w:rPr>
          <w:szCs w:val="22"/>
        </w:rPr>
        <w:t>bakteriální druhy jsou schopny syntetizovat enzym, kódovaný řadou strukturálně příbuzných genů</w:t>
      </w:r>
      <w:r w:rsidR="003A54B2" w:rsidRPr="000655C7">
        <w:rPr>
          <w:szCs w:val="22"/>
        </w:rPr>
        <w:t xml:space="preserve"> </w:t>
      </w:r>
      <w:r w:rsidRPr="000655C7">
        <w:rPr>
          <w:szCs w:val="22"/>
        </w:rPr>
        <w:t xml:space="preserve">ribozomálních </w:t>
      </w:r>
      <w:proofErr w:type="spellStart"/>
      <w:r w:rsidRPr="000655C7">
        <w:rPr>
          <w:szCs w:val="22"/>
        </w:rPr>
        <w:t>metyláz</w:t>
      </w:r>
      <w:proofErr w:type="spellEnd"/>
      <w:r w:rsidRPr="000655C7">
        <w:rPr>
          <w:szCs w:val="22"/>
        </w:rPr>
        <w:t xml:space="preserve"> (</w:t>
      </w:r>
      <w:proofErr w:type="spellStart"/>
      <w:r w:rsidRPr="000655C7">
        <w:rPr>
          <w:szCs w:val="22"/>
        </w:rPr>
        <w:t>erythromycin</w:t>
      </w:r>
      <w:proofErr w:type="spellEnd"/>
      <w:r w:rsidRPr="000655C7">
        <w:rPr>
          <w:szCs w:val="22"/>
        </w:rPr>
        <w:t xml:space="preserve"> </w:t>
      </w:r>
      <w:proofErr w:type="spellStart"/>
      <w:r w:rsidRPr="000655C7">
        <w:rPr>
          <w:szCs w:val="22"/>
        </w:rPr>
        <w:t>ribosomal</w:t>
      </w:r>
      <w:proofErr w:type="spellEnd"/>
      <w:r w:rsidRPr="000655C7">
        <w:rPr>
          <w:szCs w:val="22"/>
        </w:rPr>
        <w:t xml:space="preserve"> </w:t>
      </w:r>
      <w:proofErr w:type="spellStart"/>
      <w:r w:rsidRPr="000655C7">
        <w:rPr>
          <w:szCs w:val="22"/>
        </w:rPr>
        <w:t>methylase</w:t>
      </w:r>
      <w:proofErr w:type="spellEnd"/>
      <w:r w:rsidRPr="000655C7">
        <w:rPr>
          <w:szCs w:val="22"/>
        </w:rPr>
        <w:t xml:space="preserve"> </w:t>
      </w:r>
      <w:proofErr w:type="spellStart"/>
      <w:r w:rsidRPr="000655C7">
        <w:rPr>
          <w:szCs w:val="22"/>
        </w:rPr>
        <w:t>genes</w:t>
      </w:r>
      <w:proofErr w:type="spellEnd"/>
      <w:r w:rsidRPr="000655C7">
        <w:rPr>
          <w:szCs w:val="22"/>
        </w:rPr>
        <w:t xml:space="preserve"> – </w:t>
      </w:r>
      <w:proofErr w:type="spellStart"/>
      <w:r w:rsidRPr="000655C7">
        <w:rPr>
          <w:i/>
          <w:iCs/>
          <w:szCs w:val="22"/>
        </w:rPr>
        <w:t>erm</w:t>
      </w:r>
      <w:proofErr w:type="spellEnd"/>
      <w:r w:rsidRPr="000655C7">
        <w:rPr>
          <w:szCs w:val="22"/>
        </w:rPr>
        <w:t xml:space="preserve">). </w:t>
      </w:r>
      <w:r w:rsidR="00FD5C54">
        <w:rPr>
          <w:szCs w:val="22"/>
        </w:rPr>
        <w:t>U</w:t>
      </w:r>
      <w:r w:rsidR="00FD5C54" w:rsidRPr="000655C7">
        <w:rPr>
          <w:szCs w:val="22"/>
        </w:rPr>
        <w:t xml:space="preserve"> </w:t>
      </w:r>
      <w:r w:rsidRPr="000655C7">
        <w:rPr>
          <w:szCs w:val="22"/>
        </w:rPr>
        <w:t>patogenních bakterií</w:t>
      </w:r>
      <w:r w:rsidR="003A54B2" w:rsidRPr="000655C7">
        <w:rPr>
          <w:szCs w:val="22"/>
        </w:rPr>
        <w:t xml:space="preserve"> </w:t>
      </w:r>
      <w:r w:rsidRPr="000655C7">
        <w:rPr>
          <w:szCs w:val="22"/>
        </w:rPr>
        <w:t xml:space="preserve">jsou tyto determinanty většinou neseny </w:t>
      </w:r>
      <w:proofErr w:type="spellStart"/>
      <w:r w:rsidRPr="000655C7">
        <w:rPr>
          <w:szCs w:val="22"/>
        </w:rPr>
        <w:t>plazmidy</w:t>
      </w:r>
      <w:proofErr w:type="spellEnd"/>
      <w:r w:rsidRPr="000655C7">
        <w:rPr>
          <w:szCs w:val="22"/>
        </w:rPr>
        <w:t xml:space="preserve"> a </w:t>
      </w:r>
      <w:proofErr w:type="spellStart"/>
      <w:r w:rsidRPr="000655C7">
        <w:rPr>
          <w:szCs w:val="22"/>
        </w:rPr>
        <w:t>transpozony</w:t>
      </w:r>
      <w:proofErr w:type="spellEnd"/>
      <w:r w:rsidRPr="000655C7">
        <w:rPr>
          <w:szCs w:val="22"/>
        </w:rPr>
        <w:t xml:space="preserve">, které jsou </w:t>
      </w:r>
      <w:r w:rsidR="00FD5C54">
        <w:rPr>
          <w:szCs w:val="22"/>
        </w:rPr>
        <w:t xml:space="preserve">schopny </w:t>
      </w:r>
      <w:proofErr w:type="spellStart"/>
      <w:r w:rsidR="00FD5C54" w:rsidRPr="000655C7">
        <w:rPr>
          <w:szCs w:val="22"/>
        </w:rPr>
        <w:t>samopřen</w:t>
      </w:r>
      <w:r w:rsidR="00FD5C54">
        <w:rPr>
          <w:szCs w:val="22"/>
        </w:rPr>
        <w:t>osu</w:t>
      </w:r>
      <w:proofErr w:type="spellEnd"/>
      <w:r w:rsidR="00FD5C54" w:rsidRPr="000655C7">
        <w:rPr>
          <w:szCs w:val="22"/>
        </w:rPr>
        <w:t xml:space="preserve"> </w:t>
      </w:r>
      <w:r w:rsidRPr="000655C7">
        <w:rPr>
          <w:szCs w:val="22"/>
        </w:rPr>
        <w:t>(</w:t>
      </w:r>
      <w:proofErr w:type="spellStart"/>
      <w:r w:rsidRPr="000655C7">
        <w:rPr>
          <w:szCs w:val="22"/>
        </w:rPr>
        <w:t>selftransferable</w:t>
      </w:r>
      <w:proofErr w:type="spellEnd"/>
      <w:r w:rsidRPr="000655C7">
        <w:rPr>
          <w:szCs w:val="22"/>
        </w:rPr>
        <w:t xml:space="preserve">). Geny </w:t>
      </w:r>
      <w:proofErr w:type="spellStart"/>
      <w:r w:rsidRPr="000655C7">
        <w:rPr>
          <w:i/>
          <w:iCs/>
          <w:szCs w:val="22"/>
        </w:rPr>
        <w:t>erm</w:t>
      </w:r>
      <w:proofErr w:type="spellEnd"/>
      <w:r w:rsidRPr="000655C7">
        <w:rPr>
          <w:i/>
          <w:iCs/>
          <w:szCs w:val="22"/>
        </w:rPr>
        <w:t xml:space="preserve"> </w:t>
      </w:r>
      <w:r w:rsidRPr="000655C7">
        <w:rPr>
          <w:szCs w:val="22"/>
        </w:rPr>
        <w:t xml:space="preserve">se u </w:t>
      </w:r>
      <w:proofErr w:type="spellStart"/>
      <w:r w:rsidRPr="000655C7">
        <w:rPr>
          <w:i/>
          <w:iCs/>
          <w:szCs w:val="22"/>
        </w:rPr>
        <w:t>Staphylococcus</w:t>
      </w:r>
      <w:proofErr w:type="spellEnd"/>
      <w:r w:rsidRPr="000655C7">
        <w:rPr>
          <w:i/>
          <w:iCs/>
          <w:szCs w:val="22"/>
        </w:rPr>
        <w:t xml:space="preserve"> aureus </w:t>
      </w:r>
      <w:r w:rsidRPr="000655C7">
        <w:rPr>
          <w:szCs w:val="22"/>
        </w:rPr>
        <w:t xml:space="preserve">vyskytují převážně jako varianty </w:t>
      </w:r>
      <w:proofErr w:type="spellStart"/>
      <w:r w:rsidRPr="000655C7">
        <w:rPr>
          <w:i/>
          <w:iCs/>
          <w:szCs w:val="22"/>
        </w:rPr>
        <w:t>erm</w:t>
      </w:r>
      <w:proofErr w:type="spellEnd"/>
      <w:r w:rsidRPr="000655C7">
        <w:rPr>
          <w:i/>
          <w:iCs/>
          <w:szCs w:val="22"/>
        </w:rPr>
        <w:t xml:space="preserve"> </w:t>
      </w:r>
      <w:r w:rsidRPr="000655C7">
        <w:rPr>
          <w:szCs w:val="22"/>
        </w:rPr>
        <w:t>(A) a </w:t>
      </w:r>
      <w:proofErr w:type="spellStart"/>
      <w:r w:rsidRPr="000655C7">
        <w:rPr>
          <w:i/>
          <w:iCs/>
          <w:szCs w:val="22"/>
        </w:rPr>
        <w:t>erm</w:t>
      </w:r>
      <w:proofErr w:type="spellEnd"/>
      <w:r w:rsidRPr="000655C7">
        <w:rPr>
          <w:i/>
          <w:iCs/>
          <w:szCs w:val="22"/>
        </w:rPr>
        <w:t xml:space="preserve"> </w:t>
      </w:r>
      <w:r w:rsidRPr="000655C7">
        <w:rPr>
          <w:szCs w:val="22"/>
        </w:rPr>
        <w:t xml:space="preserve">(C) a u </w:t>
      </w:r>
      <w:proofErr w:type="spellStart"/>
      <w:r w:rsidRPr="000655C7">
        <w:rPr>
          <w:i/>
          <w:iCs/>
          <w:szCs w:val="22"/>
        </w:rPr>
        <w:t>Staphylococcus</w:t>
      </w:r>
      <w:proofErr w:type="spellEnd"/>
      <w:r w:rsidRPr="000655C7">
        <w:rPr>
          <w:i/>
          <w:iCs/>
          <w:szCs w:val="22"/>
        </w:rPr>
        <w:t xml:space="preserve"> </w:t>
      </w:r>
      <w:proofErr w:type="spellStart"/>
      <w:r w:rsidRPr="000655C7">
        <w:rPr>
          <w:i/>
          <w:iCs/>
          <w:szCs w:val="22"/>
        </w:rPr>
        <w:t>pseudintermedius</w:t>
      </w:r>
      <w:proofErr w:type="spellEnd"/>
      <w:r w:rsidRPr="000655C7">
        <w:rPr>
          <w:i/>
          <w:iCs/>
          <w:szCs w:val="22"/>
        </w:rPr>
        <w:t xml:space="preserve">, </w:t>
      </w:r>
      <w:r w:rsidRPr="000655C7">
        <w:rPr>
          <w:szCs w:val="22"/>
        </w:rPr>
        <w:t xml:space="preserve">streptokoků a enterokoků jako varianta </w:t>
      </w:r>
      <w:proofErr w:type="spellStart"/>
      <w:r w:rsidRPr="000655C7">
        <w:rPr>
          <w:i/>
          <w:iCs/>
          <w:szCs w:val="22"/>
        </w:rPr>
        <w:t>erm</w:t>
      </w:r>
      <w:proofErr w:type="spellEnd"/>
      <w:r w:rsidRPr="000655C7">
        <w:rPr>
          <w:i/>
          <w:iCs/>
          <w:szCs w:val="22"/>
        </w:rPr>
        <w:t xml:space="preserve"> </w:t>
      </w:r>
      <w:r w:rsidRPr="000655C7">
        <w:rPr>
          <w:szCs w:val="22"/>
        </w:rPr>
        <w:t xml:space="preserve">(B). U bakterií rezistentních na </w:t>
      </w:r>
      <w:proofErr w:type="spellStart"/>
      <w:r w:rsidRPr="000655C7">
        <w:rPr>
          <w:szCs w:val="22"/>
        </w:rPr>
        <w:t>makrolidy</w:t>
      </w:r>
      <w:proofErr w:type="spellEnd"/>
      <w:r w:rsidRPr="000655C7">
        <w:rPr>
          <w:szCs w:val="22"/>
        </w:rPr>
        <w:t xml:space="preserve">, </w:t>
      </w:r>
      <w:r w:rsidR="0054550D">
        <w:rPr>
          <w:szCs w:val="22"/>
        </w:rPr>
        <w:t xml:space="preserve">které jsou </w:t>
      </w:r>
      <w:r w:rsidRPr="000655C7">
        <w:rPr>
          <w:szCs w:val="22"/>
        </w:rPr>
        <w:t xml:space="preserve">zpočátku </w:t>
      </w:r>
      <w:r w:rsidR="0054550D" w:rsidRPr="000655C7">
        <w:rPr>
          <w:szCs w:val="22"/>
        </w:rPr>
        <w:t>citliv</w:t>
      </w:r>
      <w:r w:rsidR="0054550D">
        <w:rPr>
          <w:szCs w:val="22"/>
        </w:rPr>
        <w:t>é</w:t>
      </w:r>
      <w:r w:rsidR="0054550D" w:rsidRPr="000655C7">
        <w:rPr>
          <w:szCs w:val="22"/>
        </w:rPr>
        <w:t xml:space="preserve"> </w:t>
      </w:r>
      <w:r w:rsidRPr="000655C7">
        <w:rPr>
          <w:szCs w:val="22"/>
        </w:rPr>
        <w:t xml:space="preserve">na </w:t>
      </w:r>
      <w:proofErr w:type="spellStart"/>
      <w:r w:rsidRPr="000655C7">
        <w:rPr>
          <w:szCs w:val="22"/>
        </w:rPr>
        <w:t>klindamycin</w:t>
      </w:r>
      <w:proofErr w:type="spellEnd"/>
      <w:r w:rsidRPr="000655C7">
        <w:rPr>
          <w:szCs w:val="22"/>
        </w:rPr>
        <w:t xml:space="preserve">, se po vystavení účinkům </w:t>
      </w:r>
      <w:proofErr w:type="spellStart"/>
      <w:r w:rsidRPr="000655C7">
        <w:rPr>
          <w:szCs w:val="22"/>
        </w:rPr>
        <w:t>makrolidů</w:t>
      </w:r>
      <w:proofErr w:type="spellEnd"/>
      <w:r w:rsidRPr="000655C7">
        <w:rPr>
          <w:szCs w:val="22"/>
        </w:rPr>
        <w:t xml:space="preserve"> rychle rozvíjí rezistence na </w:t>
      </w:r>
      <w:proofErr w:type="spellStart"/>
      <w:r w:rsidRPr="000655C7">
        <w:rPr>
          <w:szCs w:val="22"/>
        </w:rPr>
        <w:t>klindamycin</w:t>
      </w:r>
      <w:proofErr w:type="spellEnd"/>
      <w:r w:rsidRPr="000655C7">
        <w:rPr>
          <w:szCs w:val="22"/>
        </w:rPr>
        <w:t>. Tyto bakterie představují riziko selekce konstitutivních</w:t>
      </w:r>
      <w:r w:rsidR="003A54B2" w:rsidRPr="000655C7">
        <w:rPr>
          <w:szCs w:val="22"/>
        </w:rPr>
        <w:t xml:space="preserve"> </w:t>
      </w:r>
      <w:r w:rsidRPr="000655C7">
        <w:rPr>
          <w:szCs w:val="22"/>
        </w:rPr>
        <w:t xml:space="preserve">mutantů </w:t>
      </w:r>
      <w:r w:rsidRPr="000655C7">
        <w:rPr>
          <w:i/>
          <w:iCs/>
          <w:szCs w:val="22"/>
        </w:rPr>
        <w:t xml:space="preserve">in </w:t>
      </w:r>
      <w:proofErr w:type="spellStart"/>
      <w:r w:rsidRPr="000655C7">
        <w:rPr>
          <w:i/>
          <w:iCs/>
          <w:szCs w:val="22"/>
        </w:rPr>
        <w:t>vivo</w:t>
      </w:r>
      <w:proofErr w:type="spellEnd"/>
      <w:r w:rsidRPr="000655C7">
        <w:rPr>
          <w:szCs w:val="22"/>
        </w:rPr>
        <w:t>.</w:t>
      </w:r>
    </w:p>
    <w:p w14:paraId="0429B3E9" w14:textId="77777777" w:rsidR="001B43A9" w:rsidRPr="000655C7" w:rsidRDefault="001B43A9" w:rsidP="001B43A9">
      <w:pPr>
        <w:tabs>
          <w:tab w:val="clear" w:pos="567"/>
        </w:tabs>
        <w:spacing w:line="240" w:lineRule="auto"/>
        <w:rPr>
          <w:szCs w:val="22"/>
        </w:rPr>
      </w:pPr>
    </w:p>
    <w:p w14:paraId="4511BF7D" w14:textId="44728B32" w:rsidR="001B43A9" w:rsidRPr="000655C7" w:rsidRDefault="001B43A9" w:rsidP="003A54B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655C7">
        <w:rPr>
          <w:szCs w:val="22"/>
        </w:rPr>
        <w:t>MLS</w:t>
      </w:r>
      <w:r w:rsidRPr="000655C7">
        <w:rPr>
          <w:szCs w:val="22"/>
          <w:vertAlign w:val="subscript"/>
        </w:rPr>
        <w:t>B</w:t>
      </w:r>
      <w:r w:rsidRPr="000655C7">
        <w:rPr>
          <w:szCs w:val="22"/>
        </w:rPr>
        <w:t xml:space="preserve"> indukovaná rezistence se nedá zjistit pomocí standardních metod pro stanovování citlivosti </w:t>
      </w:r>
      <w:r w:rsidRPr="000655C7">
        <w:rPr>
          <w:i/>
          <w:iCs/>
          <w:szCs w:val="22"/>
        </w:rPr>
        <w:t>in</w:t>
      </w:r>
      <w:r w:rsidR="003A54B2" w:rsidRPr="000655C7">
        <w:rPr>
          <w:i/>
          <w:iCs/>
          <w:szCs w:val="22"/>
        </w:rPr>
        <w:t xml:space="preserve"> </w:t>
      </w:r>
      <w:r w:rsidRPr="000655C7">
        <w:rPr>
          <w:i/>
          <w:iCs/>
          <w:szCs w:val="22"/>
        </w:rPr>
        <w:t>vitro</w:t>
      </w:r>
      <w:r w:rsidRPr="000655C7">
        <w:rPr>
          <w:szCs w:val="22"/>
        </w:rPr>
        <w:t>.</w:t>
      </w:r>
      <w:r w:rsidR="003A54B2" w:rsidRPr="000655C7">
        <w:rPr>
          <w:szCs w:val="22"/>
        </w:rPr>
        <w:t xml:space="preserve"> </w:t>
      </w:r>
      <w:bookmarkStart w:id="14" w:name="_Hlk201056509"/>
      <w:r w:rsidR="004E7ACD" w:rsidRPr="004E7ACD">
        <w:rPr>
          <w:szCs w:val="22"/>
        </w:rPr>
        <w:t xml:space="preserve">K odhalení klinických izolátů s </w:t>
      </w:r>
      <w:proofErr w:type="spellStart"/>
      <w:r w:rsidR="004E7ACD" w:rsidRPr="004E7ACD">
        <w:rPr>
          <w:szCs w:val="22"/>
        </w:rPr>
        <w:t>indukovatelným</w:t>
      </w:r>
      <w:proofErr w:type="spellEnd"/>
      <w:r w:rsidR="004E7ACD" w:rsidRPr="004E7ACD">
        <w:rPr>
          <w:szCs w:val="22"/>
        </w:rPr>
        <w:t xml:space="preserve"> fenotypem rezistence CLSI doporučuje veterinárním diagnostickým laboratořím rutinní provádění D-testu.</w:t>
      </w:r>
      <w:r w:rsidR="003A54B2" w:rsidRPr="000655C7">
        <w:rPr>
          <w:szCs w:val="22"/>
        </w:rPr>
        <w:t xml:space="preserve"> </w:t>
      </w:r>
      <w:bookmarkEnd w:id="14"/>
      <w:r w:rsidRPr="000655C7">
        <w:rPr>
          <w:szCs w:val="22"/>
        </w:rPr>
        <w:t xml:space="preserve">U takových pacientů by </w:t>
      </w:r>
      <w:proofErr w:type="spellStart"/>
      <w:r w:rsidRPr="000655C7">
        <w:rPr>
          <w:szCs w:val="22"/>
        </w:rPr>
        <w:t>klindamycin</w:t>
      </w:r>
      <w:proofErr w:type="spellEnd"/>
      <w:r w:rsidRPr="000655C7">
        <w:rPr>
          <w:szCs w:val="22"/>
        </w:rPr>
        <w:t xml:space="preserve"> neměl být používán.</w:t>
      </w:r>
    </w:p>
    <w:p w14:paraId="54DBCE02" w14:textId="77777777" w:rsidR="003A54B2" w:rsidRPr="000655C7" w:rsidRDefault="003A54B2" w:rsidP="001B43A9">
      <w:pPr>
        <w:tabs>
          <w:tab w:val="clear" w:pos="567"/>
        </w:tabs>
        <w:spacing w:line="240" w:lineRule="auto"/>
        <w:rPr>
          <w:szCs w:val="22"/>
        </w:rPr>
      </w:pPr>
    </w:p>
    <w:p w14:paraId="32459713" w14:textId="7E26821A" w:rsidR="001B43A9" w:rsidRPr="000655C7" w:rsidRDefault="001B43A9" w:rsidP="003A54B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655C7">
        <w:rPr>
          <w:szCs w:val="22"/>
        </w:rPr>
        <w:t xml:space="preserve">Výskyt rezistence k </w:t>
      </w:r>
      <w:proofErr w:type="spellStart"/>
      <w:r w:rsidRPr="000655C7">
        <w:rPr>
          <w:szCs w:val="22"/>
        </w:rPr>
        <w:t>linkosamidům</w:t>
      </w:r>
      <w:proofErr w:type="spellEnd"/>
      <w:r w:rsidRPr="000655C7">
        <w:rPr>
          <w:szCs w:val="22"/>
        </w:rPr>
        <w:t xml:space="preserve"> u </w:t>
      </w:r>
      <w:proofErr w:type="spellStart"/>
      <w:r w:rsidRPr="000655C7">
        <w:rPr>
          <w:i/>
          <w:iCs/>
          <w:szCs w:val="22"/>
        </w:rPr>
        <w:t>Staphylococcus</w:t>
      </w:r>
      <w:proofErr w:type="spellEnd"/>
      <w:r w:rsidRPr="000655C7">
        <w:rPr>
          <w:i/>
          <w:iCs/>
          <w:szCs w:val="22"/>
        </w:rPr>
        <w:t xml:space="preserve"> </w:t>
      </w:r>
      <w:proofErr w:type="spellStart"/>
      <w:r w:rsidRPr="000655C7">
        <w:rPr>
          <w:szCs w:val="22"/>
        </w:rPr>
        <w:t>spp</w:t>
      </w:r>
      <w:proofErr w:type="spellEnd"/>
      <w:r w:rsidRPr="000655C7">
        <w:rPr>
          <w:szCs w:val="22"/>
        </w:rPr>
        <w:t>. je v Evropě široce rozšířen.</w:t>
      </w:r>
      <w:r w:rsidR="003A54B2" w:rsidRPr="000655C7">
        <w:rPr>
          <w:szCs w:val="22"/>
        </w:rPr>
        <w:t xml:space="preserve"> </w:t>
      </w:r>
      <w:r w:rsidRPr="000655C7">
        <w:rPr>
          <w:szCs w:val="22"/>
        </w:rPr>
        <w:t xml:space="preserve">Nedávné studie (2010) ukazují výskyt mezi 25 až </w:t>
      </w:r>
      <w:proofErr w:type="gramStart"/>
      <w:r w:rsidRPr="000655C7">
        <w:rPr>
          <w:szCs w:val="22"/>
        </w:rPr>
        <w:t>40%</w:t>
      </w:r>
      <w:proofErr w:type="gramEnd"/>
      <w:r w:rsidRPr="000655C7">
        <w:rPr>
          <w:szCs w:val="22"/>
        </w:rPr>
        <w:t>.</w:t>
      </w:r>
    </w:p>
    <w:p w14:paraId="3CEDC573" w14:textId="77777777" w:rsidR="003A54B2" w:rsidRPr="000655C7" w:rsidRDefault="003A54B2" w:rsidP="00B13B6D">
      <w:pPr>
        <w:pStyle w:val="Style1"/>
      </w:pPr>
    </w:p>
    <w:p w14:paraId="2BE4D04A" w14:textId="08BCAAF7" w:rsidR="00C114FF" w:rsidRPr="000655C7" w:rsidRDefault="008E1CA4" w:rsidP="00B13B6D">
      <w:pPr>
        <w:pStyle w:val="Style1"/>
      </w:pPr>
      <w:r w:rsidRPr="000655C7">
        <w:t>4.3</w:t>
      </w:r>
      <w:r w:rsidRPr="000655C7">
        <w:tab/>
        <w:t>Farmakokinetika</w:t>
      </w:r>
    </w:p>
    <w:p w14:paraId="041767DA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F66131" w14:textId="77777777" w:rsidR="003A54B2" w:rsidRPr="000655C7" w:rsidRDefault="003A54B2" w:rsidP="003A54B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655C7">
        <w:rPr>
          <w:szCs w:val="22"/>
          <w:u w:val="single"/>
        </w:rPr>
        <w:t>Absorpce:</w:t>
      </w:r>
    </w:p>
    <w:p w14:paraId="20FB6DF8" w14:textId="47AD1DD5" w:rsidR="003A54B2" w:rsidRPr="000655C7" w:rsidRDefault="0054550D" w:rsidP="003A54B2">
      <w:pPr>
        <w:tabs>
          <w:tab w:val="clear" w:pos="567"/>
        </w:tabs>
        <w:spacing w:line="240" w:lineRule="auto"/>
        <w:rPr>
          <w:szCs w:val="22"/>
        </w:rPr>
      </w:pPr>
      <w:bookmarkStart w:id="15" w:name="_Hlk201055533"/>
      <w:r w:rsidRPr="0054550D">
        <w:rPr>
          <w:szCs w:val="22"/>
        </w:rPr>
        <w:t xml:space="preserve">Po perorálním podání je </w:t>
      </w:r>
      <w:proofErr w:type="spellStart"/>
      <w:r w:rsidRPr="0054550D">
        <w:rPr>
          <w:szCs w:val="22"/>
        </w:rPr>
        <w:t>klindamycinu</w:t>
      </w:r>
      <w:proofErr w:type="spellEnd"/>
      <w:r w:rsidRPr="0054550D">
        <w:rPr>
          <w:szCs w:val="22"/>
        </w:rPr>
        <w:t xml:space="preserve"> </w:t>
      </w:r>
      <w:proofErr w:type="spellStart"/>
      <w:r w:rsidRPr="0054550D">
        <w:rPr>
          <w:szCs w:val="22"/>
        </w:rPr>
        <w:t>hydrochlorid</w:t>
      </w:r>
      <w:proofErr w:type="spellEnd"/>
      <w:r w:rsidRPr="0054550D">
        <w:rPr>
          <w:szCs w:val="22"/>
        </w:rPr>
        <w:t xml:space="preserve"> u psů rychle absorbován z gastrointestinálního traktu.</w:t>
      </w:r>
    </w:p>
    <w:bookmarkEnd w:id="15"/>
    <w:p w14:paraId="1183A31A" w14:textId="77777777" w:rsidR="003A54B2" w:rsidRPr="000655C7" w:rsidRDefault="003A54B2" w:rsidP="003A54B2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8B67C69" w14:textId="36DE843B" w:rsidR="003A54B2" w:rsidRPr="000655C7" w:rsidRDefault="003A54B2" w:rsidP="003A54B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655C7">
        <w:rPr>
          <w:szCs w:val="22"/>
          <w:u w:val="single"/>
        </w:rPr>
        <w:t>Sérové hodnoty:</w:t>
      </w:r>
    </w:p>
    <w:p w14:paraId="3BCFC6A0" w14:textId="77777777" w:rsidR="003A54B2" w:rsidRPr="000655C7" w:rsidRDefault="003A54B2" w:rsidP="003A54B2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 xml:space="preserve">Po perorálním podání 13,1 mg/kg ž.hm. je maximální plazmatické koncentrace 6,4 </w:t>
      </w:r>
      <w:proofErr w:type="spellStart"/>
      <w:r w:rsidRPr="000655C7">
        <w:rPr>
          <w:szCs w:val="22"/>
        </w:rPr>
        <w:t>μg</w:t>
      </w:r>
      <w:proofErr w:type="spellEnd"/>
      <w:r w:rsidRPr="000655C7">
        <w:rPr>
          <w:szCs w:val="22"/>
        </w:rPr>
        <w:t>/ml (průměrná</w:t>
      </w:r>
    </w:p>
    <w:p w14:paraId="01F60C46" w14:textId="22596D4C" w:rsidR="003A54B2" w:rsidRPr="000655C7" w:rsidRDefault="003A54B2" w:rsidP="0054550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655C7">
        <w:rPr>
          <w:szCs w:val="22"/>
        </w:rPr>
        <w:t>Cmax</w:t>
      </w:r>
      <w:proofErr w:type="spellEnd"/>
      <w:r w:rsidRPr="000655C7">
        <w:rPr>
          <w:szCs w:val="22"/>
        </w:rPr>
        <w:t xml:space="preserve">) dosaženo za 50 minut (průměrný </w:t>
      </w:r>
      <w:proofErr w:type="spellStart"/>
      <w:r w:rsidRPr="000655C7">
        <w:rPr>
          <w:szCs w:val="22"/>
        </w:rPr>
        <w:t>Tmax</w:t>
      </w:r>
      <w:proofErr w:type="spellEnd"/>
      <w:r w:rsidRPr="000655C7">
        <w:rPr>
          <w:szCs w:val="22"/>
        </w:rPr>
        <w:t xml:space="preserve">). </w:t>
      </w:r>
      <w:bookmarkStart w:id="16" w:name="_Hlk201055550"/>
      <w:r w:rsidR="0054550D" w:rsidRPr="0054550D">
        <w:rPr>
          <w:szCs w:val="22"/>
        </w:rPr>
        <w:t xml:space="preserve">Biologický eliminační poločas </w:t>
      </w:r>
      <w:proofErr w:type="spellStart"/>
      <w:r w:rsidR="0054550D" w:rsidRPr="0054550D">
        <w:rPr>
          <w:szCs w:val="22"/>
        </w:rPr>
        <w:t>klindamycinu</w:t>
      </w:r>
      <w:proofErr w:type="spellEnd"/>
      <w:r w:rsidR="0054550D" w:rsidRPr="0054550D">
        <w:rPr>
          <w:szCs w:val="22"/>
        </w:rPr>
        <w:t xml:space="preserve"> u psů je přibližně 5 hodin</w:t>
      </w:r>
      <w:bookmarkEnd w:id="16"/>
      <w:r w:rsidR="0054550D" w:rsidRPr="0054550D">
        <w:rPr>
          <w:szCs w:val="22"/>
        </w:rPr>
        <w:t>.</w:t>
      </w:r>
      <w:r w:rsidRPr="000655C7">
        <w:rPr>
          <w:szCs w:val="22"/>
        </w:rPr>
        <w:t xml:space="preserve"> U psů nebyla po několika opakovaných perorálních podáních pozorována žádná</w:t>
      </w:r>
    </w:p>
    <w:p w14:paraId="574178AC" w14:textId="77777777" w:rsidR="003A54B2" w:rsidRPr="000655C7" w:rsidRDefault="003A54B2" w:rsidP="003A54B2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akumulace biologické aktivity.</w:t>
      </w:r>
    </w:p>
    <w:p w14:paraId="76760001" w14:textId="77777777" w:rsidR="003A54B2" w:rsidRPr="000655C7" w:rsidRDefault="003A54B2" w:rsidP="003A54B2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5BF54E1" w14:textId="0214E3DB" w:rsidR="003A54B2" w:rsidRPr="000655C7" w:rsidRDefault="003A54B2" w:rsidP="003A54B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655C7">
        <w:rPr>
          <w:szCs w:val="22"/>
          <w:u w:val="single"/>
        </w:rPr>
        <w:t>Metabolismus a vylučování:</w:t>
      </w:r>
    </w:p>
    <w:p w14:paraId="0691C823" w14:textId="57238B14" w:rsidR="009D52D6" w:rsidRPr="000655C7" w:rsidRDefault="009D52D6" w:rsidP="003A54B2">
      <w:pPr>
        <w:tabs>
          <w:tab w:val="clear" w:pos="567"/>
        </w:tabs>
        <w:spacing w:line="240" w:lineRule="auto"/>
        <w:rPr>
          <w:szCs w:val="22"/>
        </w:rPr>
      </w:pPr>
      <w:bookmarkStart w:id="17" w:name="_Hlk201055565"/>
      <w:bookmarkStart w:id="18" w:name="_Hlk201056563"/>
      <w:r w:rsidRPr="009D52D6">
        <w:rPr>
          <w:szCs w:val="22"/>
        </w:rPr>
        <w:t xml:space="preserve">Rozsáhlý výzkum metabolismu a vylučování </w:t>
      </w:r>
      <w:proofErr w:type="spellStart"/>
      <w:r w:rsidRPr="009D52D6">
        <w:rPr>
          <w:szCs w:val="22"/>
        </w:rPr>
        <w:t>klindamycinu</w:t>
      </w:r>
      <w:proofErr w:type="spellEnd"/>
      <w:r w:rsidRPr="009D52D6">
        <w:rPr>
          <w:szCs w:val="22"/>
        </w:rPr>
        <w:t xml:space="preserve"> prokázal, že </w:t>
      </w:r>
      <w:r w:rsidR="00D87423">
        <w:rPr>
          <w:szCs w:val="22"/>
        </w:rPr>
        <w:t xml:space="preserve">i </w:t>
      </w:r>
      <w:r w:rsidRPr="009D52D6">
        <w:rPr>
          <w:szCs w:val="22"/>
        </w:rPr>
        <w:t xml:space="preserve">výchozí látka i biologicky aktivní a inaktivní metabolity jsou vylučovány močí a </w:t>
      </w:r>
      <w:r>
        <w:rPr>
          <w:szCs w:val="22"/>
        </w:rPr>
        <w:t>trusem</w:t>
      </w:r>
      <w:bookmarkEnd w:id="17"/>
      <w:r>
        <w:rPr>
          <w:szCs w:val="22"/>
        </w:rPr>
        <w:t>.</w:t>
      </w:r>
    </w:p>
    <w:p w14:paraId="7FD51825" w14:textId="77777777" w:rsidR="003A54B2" w:rsidRPr="000655C7" w:rsidRDefault="003A54B2" w:rsidP="003A54B2">
      <w:pPr>
        <w:tabs>
          <w:tab w:val="clear" w:pos="567"/>
        </w:tabs>
        <w:spacing w:line="240" w:lineRule="auto"/>
        <w:rPr>
          <w:szCs w:val="22"/>
        </w:rPr>
      </w:pPr>
    </w:p>
    <w:p w14:paraId="4E5786E9" w14:textId="6378F723" w:rsidR="003A54B2" w:rsidRPr="000655C7" w:rsidRDefault="009D52D6" w:rsidP="003A54B2">
      <w:pPr>
        <w:tabs>
          <w:tab w:val="clear" w:pos="567"/>
        </w:tabs>
        <w:spacing w:line="240" w:lineRule="auto"/>
        <w:rPr>
          <w:szCs w:val="22"/>
        </w:rPr>
      </w:pPr>
      <w:bookmarkStart w:id="19" w:name="_Hlk201055577"/>
      <w:bookmarkEnd w:id="18"/>
      <w:r w:rsidRPr="009D52D6">
        <w:rPr>
          <w:szCs w:val="22"/>
        </w:rPr>
        <w:t>Téměř veškerá biologická aktivita v séru po perorálním podání je způsobena</w:t>
      </w:r>
      <w:r>
        <w:rPr>
          <w:szCs w:val="22"/>
        </w:rPr>
        <w:t xml:space="preserve"> </w:t>
      </w:r>
      <w:bookmarkEnd w:id="19"/>
      <w:r w:rsidR="003A54B2" w:rsidRPr="000655C7">
        <w:rPr>
          <w:szCs w:val="22"/>
        </w:rPr>
        <w:t>výchozí molekulou</w:t>
      </w:r>
    </w:p>
    <w:p w14:paraId="5ACC0296" w14:textId="0EDF654D" w:rsidR="003A54B2" w:rsidRPr="000655C7" w:rsidRDefault="003A54B2" w:rsidP="003A54B2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(</w:t>
      </w:r>
      <w:proofErr w:type="spellStart"/>
      <w:r w:rsidRPr="000655C7">
        <w:rPr>
          <w:szCs w:val="22"/>
        </w:rPr>
        <w:t>klindamycin</w:t>
      </w:r>
      <w:proofErr w:type="spellEnd"/>
      <w:r w:rsidRPr="000655C7">
        <w:rPr>
          <w:szCs w:val="22"/>
        </w:rPr>
        <w:t>).</w:t>
      </w:r>
    </w:p>
    <w:p w14:paraId="24FB0398" w14:textId="77777777" w:rsidR="003A54B2" w:rsidRPr="000655C7" w:rsidRDefault="003A54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0655C7" w:rsidRDefault="008E1CA4" w:rsidP="00B13B6D">
      <w:pPr>
        <w:pStyle w:val="Style1"/>
      </w:pPr>
      <w:r w:rsidRPr="000655C7">
        <w:t>5.</w:t>
      </w:r>
      <w:r w:rsidRPr="000655C7">
        <w:tab/>
        <w:t>FARMACEUTICKÉ ÚDAJE</w:t>
      </w:r>
    </w:p>
    <w:p w14:paraId="7BC53755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0655C7" w:rsidRDefault="008E1CA4" w:rsidP="00B13B6D">
      <w:pPr>
        <w:pStyle w:val="Style1"/>
      </w:pPr>
      <w:r w:rsidRPr="000655C7">
        <w:t>5.1</w:t>
      </w:r>
      <w:r w:rsidRPr="000655C7">
        <w:tab/>
        <w:t>Hlavní inkompatibility</w:t>
      </w:r>
    </w:p>
    <w:p w14:paraId="15C29130" w14:textId="77777777" w:rsidR="00C114FF" w:rsidRPr="000655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1463F619" w:rsidR="00C114FF" w:rsidRPr="000655C7" w:rsidRDefault="003A54B2" w:rsidP="00A9226B">
      <w:pPr>
        <w:tabs>
          <w:tab w:val="clear" w:pos="567"/>
        </w:tabs>
        <w:spacing w:line="240" w:lineRule="auto"/>
      </w:pPr>
      <w:r w:rsidRPr="000655C7">
        <w:t>Neuplatňuje se.</w:t>
      </w:r>
    </w:p>
    <w:p w14:paraId="6B754B28" w14:textId="77777777" w:rsidR="003A54B2" w:rsidRPr="000655C7" w:rsidRDefault="003A54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0655C7" w:rsidRDefault="008E1CA4" w:rsidP="00B13B6D">
      <w:pPr>
        <w:pStyle w:val="Style1"/>
      </w:pPr>
      <w:r w:rsidRPr="000655C7">
        <w:t>5.2</w:t>
      </w:r>
      <w:r w:rsidRPr="000655C7">
        <w:tab/>
        <w:t>Doba použitelnosti</w:t>
      </w:r>
    </w:p>
    <w:p w14:paraId="100B6613" w14:textId="77777777" w:rsidR="00C114FF" w:rsidRPr="000655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E99412" w14:textId="77777777" w:rsidR="003A54B2" w:rsidRPr="000655C7" w:rsidRDefault="003A54B2" w:rsidP="003A54B2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Doba použitelnosti veterinárního léčivého přípravku v neporušeném obalu: 3 roky.</w:t>
      </w:r>
    </w:p>
    <w:p w14:paraId="2A6EBE31" w14:textId="32ADD282" w:rsidR="003A54B2" w:rsidRPr="000655C7" w:rsidRDefault="003A54B2" w:rsidP="003A54B2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Doba použitelnosti zbylých nepoužitých částí tablet po prvním otevření vnitřního obalu: 72 hodin</w:t>
      </w:r>
      <w:r w:rsidR="00BF54AC">
        <w:rPr>
          <w:szCs w:val="22"/>
        </w:rPr>
        <w:t xml:space="preserve"> (nebo 3 dny).</w:t>
      </w:r>
    </w:p>
    <w:p w14:paraId="4CD9C987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0655C7" w:rsidRDefault="008E1CA4" w:rsidP="00B13B6D">
      <w:pPr>
        <w:pStyle w:val="Style1"/>
      </w:pPr>
      <w:r w:rsidRPr="000655C7">
        <w:t>5.3</w:t>
      </w:r>
      <w:r w:rsidRPr="000655C7">
        <w:tab/>
        <w:t>Zvláštní opatření pro uchovávání</w:t>
      </w:r>
    </w:p>
    <w:p w14:paraId="7826F268" w14:textId="77777777" w:rsidR="00C114FF" w:rsidRPr="000655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200E37" w14:textId="77777777" w:rsidR="003A54B2" w:rsidRPr="000655C7" w:rsidRDefault="003A54B2" w:rsidP="003A54B2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Uchovávejte při teplotě do 30 °C.</w:t>
      </w:r>
    </w:p>
    <w:p w14:paraId="0BCE5BD4" w14:textId="77777777" w:rsidR="003A54B2" w:rsidRPr="000655C7" w:rsidRDefault="003A54B2" w:rsidP="003A54B2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Zbylé nepoužité části tablet uchovávejte v blistru.</w:t>
      </w:r>
    </w:p>
    <w:p w14:paraId="1692DA4B" w14:textId="06A593A2" w:rsidR="003A54B2" w:rsidRPr="000655C7" w:rsidRDefault="003A54B2" w:rsidP="003A54B2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Uchovávejte blistr v krabičce.</w:t>
      </w:r>
    </w:p>
    <w:p w14:paraId="72A57B35" w14:textId="77777777" w:rsidR="003A54B2" w:rsidRPr="000655C7" w:rsidRDefault="003A54B2" w:rsidP="003A54B2">
      <w:pPr>
        <w:tabs>
          <w:tab w:val="clear" w:pos="567"/>
        </w:tabs>
        <w:spacing w:line="240" w:lineRule="auto"/>
        <w:rPr>
          <w:szCs w:val="22"/>
        </w:rPr>
      </w:pPr>
    </w:p>
    <w:p w14:paraId="205A4A8C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0655C7" w:rsidRDefault="008E1CA4" w:rsidP="00B13B6D">
      <w:pPr>
        <w:pStyle w:val="Style1"/>
      </w:pPr>
      <w:r w:rsidRPr="000655C7">
        <w:t>5.4</w:t>
      </w:r>
      <w:r w:rsidRPr="000655C7">
        <w:tab/>
        <w:t>Druh a složení vnitřního obalu</w:t>
      </w:r>
    </w:p>
    <w:p w14:paraId="3EB26241" w14:textId="77777777" w:rsidR="00C114FF" w:rsidRPr="000655C7" w:rsidRDefault="00C114FF" w:rsidP="005E66FC">
      <w:pPr>
        <w:pStyle w:val="Style1"/>
      </w:pPr>
    </w:p>
    <w:p w14:paraId="0319819C" w14:textId="77777777" w:rsidR="003A54B2" w:rsidRPr="000655C7" w:rsidRDefault="003A54B2" w:rsidP="003A54B2">
      <w:pPr>
        <w:pStyle w:val="Style1"/>
        <w:rPr>
          <w:b w:val="0"/>
          <w:bCs/>
        </w:rPr>
      </w:pPr>
      <w:r w:rsidRPr="000655C7">
        <w:rPr>
          <w:b w:val="0"/>
          <w:bCs/>
        </w:rPr>
        <w:t>Blistry: (PVC-TE-PVDC – uzavřené tepelně zatavenou hliníkovou fólií) obsahují 10 tablet v jednom</w:t>
      </w:r>
    </w:p>
    <w:p w14:paraId="048DF9B2" w14:textId="77777777" w:rsidR="003A54B2" w:rsidRPr="000655C7" w:rsidRDefault="003A54B2" w:rsidP="003A54B2">
      <w:pPr>
        <w:pStyle w:val="Style1"/>
        <w:rPr>
          <w:b w:val="0"/>
          <w:bCs/>
        </w:rPr>
      </w:pPr>
      <w:r w:rsidRPr="000655C7">
        <w:rPr>
          <w:b w:val="0"/>
          <w:bCs/>
        </w:rPr>
        <w:t>blistru.</w:t>
      </w:r>
    </w:p>
    <w:p w14:paraId="55B0C1BC" w14:textId="77777777" w:rsidR="003A54B2" w:rsidRPr="000655C7" w:rsidRDefault="003A54B2" w:rsidP="003A54B2">
      <w:pPr>
        <w:pStyle w:val="Style1"/>
        <w:rPr>
          <w:b w:val="0"/>
          <w:bCs/>
        </w:rPr>
      </w:pPr>
      <w:r w:rsidRPr="000655C7">
        <w:rPr>
          <w:b w:val="0"/>
          <w:bCs/>
        </w:rPr>
        <w:t>Papírová krabička s 10 tabletami obsahuje 1 blistr s 10 tabletami.</w:t>
      </w:r>
    </w:p>
    <w:p w14:paraId="7905303C" w14:textId="77777777" w:rsidR="003A54B2" w:rsidRPr="000655C7" w:rsidRDefault="003A54B2" w:rsidP="003A54B2">
      <w:pPr>
        <w:pStyle w:val="Style1"/>
        <w:rPr>
          <w:b w:val="0"/>
          <w:bCs/>
        </w:rPr>
      </w:pPr>
      <w:r w:rsidRPr="000655C7">
        <w:rPr>
          <w:b w:val="0"/>
          <w:bCs/>
        </w:rPr>
        <w:t>Papírová krabička s 20 tabletami obsahuje 2 blistry po 10 tabletách.</w:t>
      </w:r>
    </w:p>
    <w:p w14:paraId="571874BE" w14:textId="77777777" w:rsidR="003A54B2" w:rsidRPr="000655C7" w:rsidRDefault="003A54B2" w:rsidP="003A54B2">
      <w:pPr>
        <w:pStyle w:val="Style1"/>
        <w:rPr>
          <w:b w:val="0"/>
          <w:bCs/>
        </w:rPr>
      </w:pPr>
      <w:r w:rsidRPr="000655C7">
        <w:rPr>
          <w:b w:val="0"/>
          <w:bCs/>
        </w:rPr>
        <w:t>Papírová krabička se 100 tabletami obsahuje 10 blistrů po 10 tabletách.</w:t>
      </w:r>
    </w:p>
    <w:p w14:paraId="60437C1B" w14:textId="77777777" w:rsidR="003A54B2" w:rsidRPr="000655C7" w:rsidRDefault="003A54B2" w:rsidP="003A54B2">
      <w:pPr>
        <w:pStyle w:val="Style1"/>
        <w:rPr>
          <w:b w:val="0"/>
          <w:bCs/>
        </w:rPr>
      </w:pPr>
      <w:r w:rsidRPr="000655C7">
        <w:rPr>
          <w:b w:val="0"/>
          <w:bCs/>
        </w:rPr>
        <w:t>Papírová krabička se 120 tabletami obsahuje 12 blistrů po 10 tabletách.</w:t>
      </w:r>
    </w:p>
    <w:p w14:paraId="17FD04E8" w14:textId="77777777" w:rsidR="003A54B2" w:rsidRPr="000655C7" w:rsidRDefault="003A54B2" w:rsidP="003A54B2">
      <w:pPr>
        <w:pStyle w:val="Style1"/>
        <w:rPr>
          <w:b w:val="0"/>
          <w:bCs/>
        </w:rPr>
      </w:pPr>
      <w:r w:rsidRPr="000655C7">
        <w:rPr>
          <w:b w:val="0"/>
          <w:bCs/>
        </w:rPr>
        <w:t>Papírová krabička s 240 tabletami obsahuje 24 blistrů po 10 tabletách</w:t>
      </w:r>
    </w:p>
    <w:p w14:paraId="6AF06926" w14:textId="77777777" w:rsidR="003A54B2" w:rsidRPr="000655C7" w:rsidRDefault="003A54B2" w:rsidP="003A54B2">
      <w:pPr>
        <w:pStyle w:val="Style1"/>
        <w:rPr>
          <w:b w:val="0"/>
          <w:bCs/>
        </w:rPr>
      </w:pPr>
    </w:p>
    <w:p w14:paraId="14560905" w14:textId="677ABEA3" w:rsidR="003A54B2" w:rsidRPr="000655C7" w:rsidRDefault="003A54B2" w:rsidP="003A54B2">
      <w:pPr>
        <w:pStyle w:val="Style1"/>
        <w:rPr>
          <w:b w:val="0"/>
          <w:bCs/>
        </w:rPr>
      </w:pPr>
      <w:r w:rsidRPr="000655C7">
        <w:rPr>
          <w:b w:val="0"/>
          <w:bCs/>
        </w:rPr>
        <w:t>Na trhu nemusí být všechny velikosti balení.</w:t>
      </w:r>
    </w:p>
    <w:p w14:paraId="584B339F" w14:textId="3A47970E" w:rsidR="00C114FF" w:rsidRPr="000655C7" w:rsidRDefault="003A54B2" w:rsidP="00A9226B">
      <w:pPr>
        <w:tabs>
          <w:tab w:val="clear" w:pos="567"/>
        </w:tabs>
        <w:spacing w:line="240" w:lineRule="auto"/>
        <w:rPr>
          <w:szCs w:val="22"/>
        </w:rPr>
      </w:pPr>
      <w:r w:rsidRPr="000655C7">
        <w:t xml:space="preserve"> </w:t>
      </w:r>
    </w:p>
    <w:p w14:paraId="580835CC" w14:textId="74323501" w:rsidR="00C114FF" w:rsidRPr="000655C7" w:rsidRDefault="008E1CA4" w:rsidP="00444FE1">
      <w:pPr>
        <w:pStyle w:val="Style1"/>
        <w:keepNext/>
      </w:pPr>
      <w:r w:rsidRPr="000655C7">
        <w:t>5.5</w:t>
      </w:r>
      <w:r w:rsidRPr="000655C7">
        <w:tab/>
        <w:t xml:space="preserve">Zvláštní opatření pro </w:t>
      </w:r>
      <w:r w:rsidR="00CF069C" w:rsidRPr="000655C7">
        <w:t xml:space="preserve">likvidaci </w:t>
      </w:r>
      <w:r w:rsidRPr="000655C7">
        <w:t>nepoužit</w:t>
      </w:r>
      <w:r w:rsidR="002F64C6" w:rsidRPr="000655C7">
        <w:t>ých</w:t>
      </w:r>
      <w:r w:rsidR="00905CAB" w:rsidRPr="000655C7">
        <w:t xml:space="preserve"> </w:t>
      </w:r>
      <w:r w:rsidRPr="000655C7">
        <w:t>veterinární</w:t>
      </w:r>
      <w:r w:rsidR="002F64C6" w:rsidRPr="000655C7">
        <w:t>ch</w:t>
      </w:r>
      <w:r w:rsidRPr="000655C7">
        <w:t xml:space="preserve"> léčiv</w:t>
      </w:r>
      <w:r w:rsidR="002F64C6" w:rsidRPr="000655C7">
        <w:t>ých</w:t>
      </w:r>
      <w:r w:rsidRPr="000655C7">
        <w:t xml:space="preserve"> přípravk</w:t>
      </w:r>
      <w:r w:rsidR="002F64C6" w:rsidRPr="000655C7">
        <w:t>ů</w:t>
      </w:r>
      <w:r w:rsidRPr="000655C7">
        <w:t xml:space="preserve"> nebo odpad</w:t>
      </w:r>
      <w:r w:rsidR="00F84AED" w:rsidRPr="000655C7">
        <w:t>ů</w:t>
      </w:r>
      <w:r w:rsidR="00B36E65" w:rsidRPr="000655C7">
        <w:t>, kter</w:t>
      </w:r>
      <w:r w:rsidR="00F84AED" w:rsidRPr="000655C7">
        <w:t>é</w:t>
      </w:r>
      <w:r w:rsidRPr="000655C7">
        <w:t xml:space="preserve"> pocház</w:t>
      </w:r>
      <w:r w:rsidR="00B36E65" w:rsidRPr="000655C7">
        <w:t>í</w:t>
      </w:r>
      <w:r w:rsidRPr="000655C7">
        <w:t xml:space="preserve"> z</w:t>
      </w:r>
      <w:r w:rsidR="002F64C6" w:rsidRPr="000655C7">
        <w:t> </w:t>
      </w:r>
      <w:r w:rsidRPr="000655C7">
        <w:t>t</w:t>
      </w:r>
      <w:r w:rsidR="002F64C6" w:rsidRPr="000655C7">
        <w:t xml:space="preserve">ěchto </w:t>
      </w:r>
      <w:r w:rsidRPr="000655C7">
        <w:t>přípravk</w:t>
      </w:r>
      <w:r w:rsidR="002F64C6" w:rsidRPr="000655C7">
        <w:t>ů</w:t>
      </w:r>
    </w:p>
    <w:p w14:paraId="4E04C78C" w14:textId="77777777" w:rsidR="00C114FF" w:rsidRPr="000655C7" w:rsidRDefault="00C114FF" w:rsidP="00444FE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01FB7FF2" w:rsidR="00FD1E45" w:rsidRPr="000655C7" w:rsidRDefault="008E1CA4" w:rsidP="00FD1E45">
      <w:pPr>
        <w:rPr>
          <w:szCs w:val="22"/>
        </w:rPr>
      </w:pPr>
      <w:r w:rsidRPr="000655C7">
        <w:t>Léčivé přípravky se nesmí likvidovat prostřednictvím odpadní vody či domovního odpadu.</w:t>
      </w:r>
    </w:p>
    <w:p w14:paraId="44A5EE14" w14:textId="77777777" w:rsidR="00FD1E45" w:rsidRPr="000655C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0655C7" w:rsidRDefault="008E1CA4" w:rsidP="00FD1E45">
      <w:pPr>
        <w:tabs>
          <w:tab w:val="clear" w:pos="567"/>
        </w:tabs>
        <w:spacing w:line="240" w:lineRule="auto"/>
        <w:rPr>
          <w:szCs w:val="22"/>
        </w:rPr>
      </w:pPr>
      <w:r w:rsidRPr="000655C7">
        <w:t>Všechen n</w:t>
      </w:r>
      <w:r w:rsidR="00DA2A06" w:rsidRPr="000655C7">
        <w:t xml:space="preserve">epoužitý veterinární léčivý přípravek nebo </w:t>
      </w:r>
      <w:r w:rsidR="00905CAB" w:rsidRPr="000655C7">
        <w:t>odpad, který pochází z tohoto přípravku,</w:t>
      </w:r>
      <w:r w:rsidR="00DA2A06" w:rsidRPr="000655C7">
        <w:t xml:space="preserve"> </w:t>
      </w:r>
      <w:r w:rsidR="004C0568" w:rsidRPr="000655C7">
        <w:t xml:space="preserve">likvidujte </w:t>
      </w:r>
      <w:r w:rsidR="007464DA" w:rsidRPr="000655C7">
        <w:t>odevzdáním</w:t>
      </w:r>
      <w:r w:rsidR="00730908" w:rsidRPr="000655C7">
        <w:t xml:space="preserve"> </w:t>
      </w:r>
      <w:r w:rsidR="00DA2A06" w:rsidRPr="000655C7">
        <w:t>v souladu s místními požadavky a národními systémy sběru, které jsou platné pro příslušný veterinární léčivý přípravek.</w:t>
      </w:r>
    </w:p>
    <w:p w14:paraId="42D2D2CF" w14:textId="77777777" w:rsidR="0078538F" w:rsidRPr="000655C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0655C7" w:rsidRDefault="008E1CA4" w:rsidP="00B13B6D">
      <w:pPr>
        <w:pStyle w:val="Style1"/>
      </w:pPr>
      <w:r w:rsidRPr="000655C7">
        <w:t>6.</w:t>
      </w:r>
      <w:r w:rsidRPr="000655C7">
        <w:tab/>
        <w:t>JMÉNO DRŽITELE ROZHODNUTÍ O REGISTRACI</w:t>
      </w:r>
    </w:p>
    <w:p w14:paraId="2E652F1A" w14:textId="77777777" w:rsidR="00C114FF" w:rsidRPr="000655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376980AA" w:rsidR="00C114FF" w:rsidRPr="000655C7" w:rsidRDefault="003A54B2" w:rsidP="00A9226B">
      <w:pPr>
        <w:tabs>
          <w:tab w:val="clear" w:pos="567"/>
        </w:tabs>
        <w:spacing w:line="240" w:lineRule="auto"/>
      </w:pPr>
      <w:proofErr w:type="spellStart"/>
      <w:r w:rsidRPr="000655C7">
        <w:t>Ceva</w:t>
      </w:r>
      <w:proofErr w:type="spellEnd"/>
      <w:r w:rsidRPr="000655C7">
        <w:t xml:space="preserve"> </w:t>
      </w:r>
      <w:proofErr w:type="spellStart"/>
      <w:r w:rsidRPr="000655C7">
        <w:t>Santé</w:t>
      </w:r>
      <w:proofErr w:type="spellEnd"/>
      <w:r w:rsidRPr="000655C7">
        <w:t xml:space="preserve"> Animale</w:t>
      </w:r>
    </w:p>
    <w:p w14:paraId="0EC84615" w14:textId="77777777" w:rsidR="003A54B2" w:rsidRPr="000655C7" w:rsidRDefault="003A54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0655C7" w:rsidRDefault="008E1CA4" w:rsidP="00B13B6D">
      <w:pPr>
        <w:pStyle w:val="Style1"/>
      </w:pPr>
      <w:r w:rsidRPr="000655C7">
        <w:t>7.</w:t>
      </w:r>
      <w:r w:rsidRPr="000655C7">
        <w:tab/>
        <w:t>REGISTRAČNÍ ČÍSLO(A)</w:t>
      </w:r>
    </w:p>
    <w:p w14:paraId="1FA2C56F" w14:textId="77777777" w:rsidR="00C114FF" w:rsidRPr="000655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637416DE" w:rsidR="00C114FF" w:rsidRPr="000655C7" w:rsidRDefault="003A54B2" w:rsidP="00A9226B">
      <w:pPr>
        <w:tabs>
          <w:tab w:val="clear" w:pos="567"/>
        </w:tabs>
        <w:spacing w:line="240" w:lineRule="auto"/>
        <w:rPr>
          <w:szCs w:val="22"/>
        </w:rPr>
      </w:pPr>
      <w:r w:rsidRPr="000655C7">
        <w:rPr>
          <w:szCs w:val="22"/>
        </w:rPr>
        <w:t>96/066/14-C</w:t>
      </w:r>
    </w:p>
    <w:p w14:paraId="0F83A303" w14:textId="77777777" w:rsidR="003A54B2" w:rsidRPr="000655C7" w:rsidRDefault="003A54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CFC42" w14:textId="77777777" w:rsidR="003A54B2" w:rsidRPr="000655C7" w:rsidRDefault="003A54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0655C7" w:rsidRDefault="008E1CA4" w:rsidP="00B13B6D">
      <w:pPr>
        <w:pStyle w:val="Style1"/>
      </w:pPr>
      <w:r w:rsidRPr="000655C7">
        <w:t>8.</w:t>
      </w:r>
      <w:r w:rsidRPr="000655C7">
        <w:tab/>
        <w:t>DATUM PRVNÍ REGISTRACE</w:t>
      </w:r>
    </w:p>
    <w:p w14:paraId="669AE9C0" w14:textId="77777777" w:rsidR="00D65777" w:rsidRPr="000655C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3C1794BD" w:rsidR="00C114FF" w:rsidRPr="000655C7" w:rsidRDefault="008E1CA4" w:rsidP="00A9226B">
      <w:pPr>
        <w:tabs>
          <w:tab w:val="clear" w:pos="567"/>
        </w:tabs>
        <w:spacing w:line="240" w:lineRule="auto"/>
        <w:rPr>
          <w:szCs w:val="22"/>
        </w:rPr>
      </w:pPr>
      <w:r w:rsidRPr="000655C7">
        <w:t>Datum první registrace:</w:t>
      </w:r>
      <w:r w:rsidR="003A54B2" w:rsidRPr="000655C7">
        <w:t xml:space="preserve"> 4. 9. 2014</w:t>
      </w:r>
    </w:p>
    <w:p w14:paraId="6E98A2F6" w14:textId="77777777" w:rsidR="00D65777" w:rsidRPr="000655C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0655C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0655C7" w:rsidRDefault="008E1CA4" w:rsidP="00B13B6D">
      <w:pPr>
        <w:pStyle w:val="Style1"/>
      </w:pPr>
      <w:r w:rsidRPr="000655C7">
        <w:t>9.</w:t>
      </w:r>
      <w:r w:rsidRPr="000655C7">
        <w:tab/>
        <w:t>DATUM POSLEDNÍ AKTUALIZACE SOUHRNU ÚDAJŮ O PŘÍPRAVKU</w:t>
      </w:r>
    </w:p>
    <w:p w14:paraId="30326986" w14:textId="77777777" w:rsidR="00C114FF" w:rsidRPr="000655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657150CF" w:rsidR="00C114FF" w:rsidRPr="000655C7" w:rsidRDefault="009D52D6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8914B6">
        <w:t>7</w:t>
      </w:r>
      <w:r>
        <w:t>/2025</w:t>
      </w:r>
    </w:p>
    <w:p w14:paraId="224434F8" w14:textId="77777777" w:rsidR="0078538F" w:rsidRPr="000655C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0655C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0655C7" w:rsidRDefault="008E1CA4" w:rsidP="00B13B6D">
      <w:pPr>
        <w:pStyle w:val="Style1"/>
      </w:pPr>
      <w:r w:rsidRPr="000655C7">
        <w:t>10.</w:t>
      </w:r>
      <w:r w:rsidRPr="000655C7">
        <w:tab/>
        <w:t>KLASIFIKACE VETERINÁRNÍCH LÉČIVÝCH PŘÍPRAVKŮ</w:t>
      </w:r>
    </w:p>
    <w:p w14:paraId="1F12B426" w14:textId="77777777" w:rsidR="0078538F" w:rsidRPr="000655C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22DFC638" w:rsidR="0078538F" w:rsidRPr="000655C7" w:rsidRDefault="008E1CA4" w:rsidP="0078538F">
      <w:pPr>
        <w:numPr>
          <w:ilvl w:val="12"/>
          <w:numId w:val="0"/>
        </w:numPr>
        <w:rPr>
          <w:szCs w:val="22"/>
        </w:rPr>
      </w:pPr>
      <w:r w:rsidRPr="000655C7">
        <w:t>Veterinární léčivý přípravek je vydáván pouze na předpis.</w:t>
      </w:r>
    </w:p>
    <w:p w14:paraId="05E12133" w14:textId="77777777" w:rsidR="0078538F" w:rsidRPr="000655C7" w:rsidRDefault="0078538F" w:rsidP="0078538F">
      <w:pPr>
        <w:ind w:right="-318"/>
        <w:rPr>
          <w:szCs w:val="22"/>
        </w:rPr>
      </w:pPr>
    </w:p>
    <w:p w14:paraId="28C35B4C" w14:textId="5D07ABCB" w:rsidR="0078538F" w:rsidRPr="000655C7" w:rsidRDefault="008E1CA4" w:rsidP="005C4E23">
      <w:pPr>
        <w:ind w:right="-1"/>
        <w:rPr>
          <w:szCs w:val="22"/>
        </w:rPr>
      </w:pPr>
      <w:bookmarkStart w:id="20" w:name="_Hlk73467306"/>
      <w:r w:rsidRPr="000655C7">
        <w:t xml:space="preserve">Podrobné informace o tomto veterinárním léčivém přípravku jsou k dispozici v databázi přípravků Unie </w:t>
      </w:r>
      <w:r w:rsidRPr="000655C7">
        <w:rPr>
          <w:szCs w:val="22"/>
        </w:rPr>
        <w:t>(</w:t>
      </w:r>
      <w:hyperlink r:id="rId8" w:history="1">
        <w:r w:rsidR="0078538F" w:rsidRPr="000655C7">
          <w:rPr>
            <w:rStyle w:val="Hypertextovodkaz"/>
            <w:szCs w:val="22"/>
          </w:rPr>
          <w:t>https://medicines.health.europa.eu/veterinary</w:t>
        </w:r>
      </w:hyperlink>
      <w:r w:rsidRPr="000655C7">
        <w:rPr>
          <w:szCs w:val="22"/>
        </w:rPr>
        <w:t>)</w:t>
      </w:r>
      <w:r w:rsidRPr="000655C7">
        <w:rPr>
          <w:i/>
          <w:szCs w:val="22"/>
        </w:rPr>
        <w:t>.</w:t>
      </w:r>
    </w:p>
    <w:bookmarkEnd w:id="20"/>
    <w:p w14:paraId="17AA9DD2" w14:textId="77777777" w:rsidR="00AC52BB" w:rsidRPr="000655C7" w:rsidRDefault="00AC52BB" w:rsidP="00A9226B">
      <w:pPr>
        <w:tabs>
          <w:tab w:val="clear" w:pos="567"/>
        </w:tabs>
        <w:spacing w:line="240" w:lineRule="auto"/>
      </w:pPr>
    </w:p>
    <w:p w14:paraId="07753E96" w14:textId="77777777" w:rsidR="00AC52BB" w:rsidRPr="000655C7" w:rsidRDefault="00AC52BB" w:rsidP="00AC52BB">
      <w:pPr>
        <w:ind w:right="-318"/>
        <w:rPr>
          <w:szCs w:val="22"/>
        </w:rPr>
      </w:pPr>
      <w:r w:rsidRPr="000655C7">
        <w:rPr>
          <w:rStyle w:val="markedcontent"/>
        </w:rPr>
        <w:lastRenderedPageBreak/>
        <w:t>Podrobné informace o tomto veterinárním léčivém přípravku naleznete také v národní databázi (</w:t>
      </w:r>
      <w:hyperlink r:id="rId9" w:history="1">
        <w:r w:rsidRPr="000655C7">
          <w:rPr>
            <w:rStyle w:val="Hypertextovodkaz"/>
          </w:rPr>
          <w:t>https://www.uskvbl.cz</w:t>
        </w:r>
      </w:hyperlink>
      <w:r w:rsidRPr="000655C7">
        <w:rPr>
          <w:rStyle w:val="markedcontent"/>
        </w:rPr>
        <w:t>).</w:t>
      </w:r>
    </w:p>
    <w:p w14:paraId="70755970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0F5096F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377D459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71A18D3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F371CDC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05B0554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EE84674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FE388F0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7092CE3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60BE82A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1D67C14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C630FE3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F6564CA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FD84D62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81D84B0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F7836D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1DCCD51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EBD75E4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5608105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2428AD0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DD419EB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CF3035F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8A2E993" w14:textId="77777777" w:rsidR="00071D58" w:rsidRDefault="00071D5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br w:type="page"/>
      </w:r>
    </w:p>
    <w:p w14:paraId="5AF2F4BA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8294C78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4BC26DF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48573CD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2D991A2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039568E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BE9FAF8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731D935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03E3FBC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ED96A9D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E56ABA9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6A84310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3A8D5D2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163A56A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BCABDA4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9BA4B9C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AF397F8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E656CB6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A5E957F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09FAE78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336158B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4F4AE69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AEC8F3F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E167D03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1D5136D" w14:textId="70404EA8" w:rsidR="00071D58" w:rsidRPr="00C225A9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C225A9">
        <w:rPr>
          <w:b/>
          <w:szCs w:val="22"/>
        </w:rPr>
        <w:t>PŘÍLOHA I</w:t>
      </w:r>
    </w:p>
    <w:p w14:paraId="5657141D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5AB7C5E" w14:textId="77777777" w:rsidR="00071D58" w:rsidRPr="00C225A9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C225A9">
        <w:rPr>
          <w:b/>
          <w:szCs w:val="22"/>
        </w:rPr>
        <w:t>SOUHRN ÚDAJŮ O PŘÍPRAVKU</w:t>
      </w:r>
    </w:p>
    <w:p w14:paraId="7ECF0832" w14:textId="77777777" w:rsidR="00071D58" w:rsidRPr="00C225A9" w:rsidRDefault="00071D58" w:rsidP="00071D58">
      <w:pPr>
        <w:pStyle w:val="Style1"/>
      </w:pPr>
      <w:r w:rsidRPr="00C225A9">
        <w:br w:type="page"/>
      </w:r>
      <w:r w:rsidRPr="00C225A9">
        <w:lastRenderedPageBreak/>
        <w:t>1.</w:t>
      </w:r>
      <w:r w:rsidRPr="00C225A9">
        <w:tab/>
        <w:t>NÁZEV VETERINÁRNÍHO LÉČIVÉHO PŘÍPRAVKU</w:t>
      </w:r>
    </w:p>
    <w:p w14:paraId="677A7580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FFA9BC5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225A9">
        <w:t>Zodon</w:t>
      </w:r>
      <w:proofErr w:type="spellEnd"/>
      <w:r w:rsidRPr="00C225A9">
        <w:t xml:space="preserve"> 150 mg žvýkací tablety pro psy</w:t>
      </w:r>
    </w:p>
    <w:p w14:paraId="2C36C077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B825E49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367F42E" w14:textId="77777777" w:rsidR="00071D58" w:rsidRPr="00C225A9" w:rsidRDefault="00071D58" w:rsidP="00071D58">
      <w:pPr>
        <w:pStyle w:val="Style1"/>
      </w:pPr>
      <w:r w:rsidRPr="00C225A9">
        <w:t>2.</w:t>
      </w:r>
      <w:r w:rsidRPr="00C225A9">
        <w:tab/>
        <w:t>KVALITATIVNÍ A KVANTITATIVNÍ SLOŽENÍ</w:t>
      </w:r>
    </w:p>
    <w:p w14:paraId="260F6480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78F498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Každá tableta obsahuje:</w:t>
      </w:r>
    </w:p>
    <w:p w14:paraId="0F04C7BE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b/>
          <w:szCs w:val="22"/>
        </w:rPr>
      </w:pPr>
    </w:p>
    <w:p w14:paraId="456F75A0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b/>
          <w:szCs w:val="22"/>
        </w:rPr>
      </w:pPr>
      <w:r w:rsidRPr="00C225A9">
        <w:rPr>
          <w:b/>
          <w:szCs w:val="22"/>
        </w:rPr>
        <w:t>Léčivé látky:</w:t>
      </w:r>
    </w:p>
    <w:p w14:paraId="60005E67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C225A9">
        <w:rPr>
          <w:iCs/>
          <w:szCs w:val="22"/>
        </w:rPr>
        <w:t>Clindamycinum</w:t>
      </w:r>
      <w:proofErr w:type="spellEnd"/>
      <w:r w:rsidRPr="00C225A9">
        <w:rPr>
          <w:iCs/>
          <w:szCs w:val="22"/>
        </w:rPr>
        <w:t xml:space="preserve"> (jako </w:t>
      </w:r>
      <w:proofErr w:type="spellStart"/>
      <w:r w:rsidRPr="00C225A9">
        <w:rPr>
          <w:iCs/>
          <w:szCs w:val="22"/>
        </w:rPr>
        <w:t>hydrochloridum</w:t>
      </w:r>
      <w:proofErr w:type="spellEnd"/>
      <w:r w:rsidRPr="00C225A9">
        <w:rPr>
          <w:iCs/>
          <w:szCs w:val="22"/>
        </w:rPr>
        <w:t>) ........................150 mg</w:t>
      </w:r>
    </w:p>
    <w:p w14:paraId="0932891C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2C2BC07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</w:tblGrid>
      <w:tr w:rsidR="00071D58" w:rsidRPr="00C225A9" w14:paraId="28530DFF" w14:textId="77777777" w:rsidTr="00A327C4">
        <w:tc>
          <w:tcPr>
            <w:tcW w:w="4540" w:type="dxa"/>
            <w:shd w:val="clear" w:color="auto" w:fill="auto"/>
            <w:vAlign w:val="center"/>
          </w:tcPr>
          <w:p w14:paraId="33B455F9" w14:textId="77777777" w:rsidR="00071D58" w:rsidRPr="00C225A9" w:rsidRDefault="00071D58" w:rsidP="00A327C4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C225A9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071D58" w:rsidRPr="00C225A9" w14:paraId="39FA6B9C" w14:textId="77777777" w:rsidTr="00A327C4">
        <w:tc>
          <w:tcPr>
            <w:tcW w:w="4540" w:type="dxa"/>
            <w:shd w:val="clear" w:color="auto" w:fill="auto"/>
            <w:vAlign w:val="center"/>
          </w:tcPr>
          <w:p w14:paraId="154CAFA1" w14:textId="77777777" w:rsidR="00071D58" w:rsidRPr="00C225A9" w:rsidRDefault="00071D58" w:rsidP="00A327C4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C225A9">
              <w:rPr>
                <w:iCs/>
                <w:szCs w:val="22"/>
              </w:rPr>
              <w:t>Kuřecí aroma</w:t>
            </w:r>
          </w:p>
        </w:tc>
      </w:tr>
      <w:tr w:rsidR="00071D58" w:rsidRPr="00C225A9" w14:paraId="13CA6508" w14:textId="77777777" w:rsidTr="00A327C4">
        <w:tc>
          <w:tcPr>
            <w:tcW w:w="4540" w:type="dxa"/>
            <w:shd w:val="clear" w:color="auto" w:fill="auto"/>
            <w:vAlign w:val="center"/>
          </w:tcPr>
          <w:p w14:paraId="56FF1B62" w14:textId="77777777" w:rsidR="00071D58" w:rsidRPr="00C225A9" w:rsidRDefault="00071D58" w:rsidP="00A327C4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C225A9">
              <w:rPr>
                <w:iCs/>
                <w:szCs w:val="22"/>
              </w:rPr>
              <w:t>Kvasnicový extrakt</w:t>
            </w:r>
          </w:p>
        </w:tc>
      </w:tr>
      <w:tr w:rsidR="00071D58" w:rsidRPr="00C225A9" w14:paraId="5283E83A" w14:textId="77777777" w:rsidTr="00A327C4">
        <w:tc>
          <w:tcPr>
            <w:tcW w:w="4540" w:type="dxa"/>
            <w:shd w:val="clear" w:color="auto" w:fill="auto"/>
            <w:vAlign w:val="center"/>
          </w:tcPr>
          <w:p w14:paraId="5692A2FF" w14:textId="77777777" w:rsidR="00071D58" w:rsidRPr="00C225A9" w:rsidRDefault="00071D58" w:rsidP="00A327C4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C225A9">
              <w:rPr>
                <w:iCs/>
                <w:szCs w:val="22"/>
              </w:rPr>
              <w:t xml:space="preserve">Sodná sůl </w:t>
            </w:r>
            <w:proofErr w:type="spellStart"/>
            <w:r w:rsidRPr="00C225A9">
              <w:rPr>
                <w:iCs/>
                <w:szCs w:val="22"/>
              </w:rPr>
              <w:t>kroskarmelosy</w:t>
            </w:r>
            <w:proofErr w:type="spellEnd"/>
          </w:p>
        </w:tc>
      </w:tr>
      <w:tr w:rsidR="00071D58" w:rsidRPr="00C225A9" w14:paraId="6A494FF1" w14:textId="77777777" w:rsidTr="00A327C4">
        <w:tc>
          <w:tcPr>
            <w:tcW w:w="4540" w:type="dxa"/>
            <w:shd w:val="clear" w:color="auto" w:fill="auto"/>
            <w:vAlign w:val="center"/>
          </w:tcPr>
          <w:p w14:paraId="2970DFE0" w14:textId="77777777" w:rsidR="00071D58" w:rsidRPr="00C225A9" w:rsidRDefault="00071D58" w:rsidP="00A327C4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C225A9">
              <w:rPr>
                <w:iCs/>
                <w:szCs w:val="22"/>
              </w:rPr>
              <w:t>Kopovidon</w:t>
            </w:r>
            <w:proofErr w:type="spellEnd"/>
          </w:p>
        </w:tc>
      </w:tr>
      <w:tr w:rsidR="00071D58" w:rsidRPr="00C225A9" w14:paraId="46C4953B" w14:textId="77777777" w:rsidTr="00A327C4">
        <w:tc>
          <w:tcPr>
            <w:tcW w:w="4540" w:type="dxa"/>
            <w:shd w:val="clear" w:color="auto" w:fill="auto"/>
            <w:vAlign w:val="center"/>
          </w:tcPr>
          <w:p w14:paraId="198CB9E7" w14:textId="77777777" w:rsidR="00071D58" w:rsidRPr="00C225A9" w:rsidRDefault="00071D58" w:rsidP="00A327C4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C225A9">
              <w:rPr>
                <w:iCs/>
                <w:szCs w:val="22"/>
              </w:rPr>
              <w:t>Magnesium-</w:t>
            </w:r>
            <w:proofErr w:type="spellStart"/>
            <w:r w:rsidRPr="00C225A9">
              <w:rPr>
                <w:iCs/>
                <w:szCs w:val="22"/>
              </w:rPr>
              <w:t>stearát</w:t>
            </w:r>
            <w:proofErr w:type="spellEnd"/>
          </w:p>
        </w:tc>
      </w:tr>
      <w:tr w:rsidR="00071D58" w:rsidRPr="00C225A9" w14:paraId="062B8988" w14:textId="77777777" w:rsidTr="00A327C4">
        <w:tc>
          <w:tcPr>
            <w:tcW w:w="4540" w:type="dxa"/>
            <w:shd w:val="clear" w:color="auto" w:fill="auto"/>
            <w:vAlign w:val="center"/>
          </w:tcPr>
          <w:p w14:paraId="7E9DC8C1" w14:textId="77777777" w:rsidR="00071D58" w:rsidRPr="00C225A9" w:rsidRDefault="00071D58" w:rsidP="00A327C4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C225A9">
              <w:rPr>
                <w:iCs/>
                <w:szCs w:val="22"/>
              </w:rPr>
              <w:t>Koloidní bezvodý oxid křemičitý</w:t>
            </w:r>
          </w:p>
        </w:tc>
      </w:tr>
      <w:tr w:rsidR="00071D58" w:rsidRPr="00C225A9" w14:paraId="10621D17" w14:textId="77777777" w:rsidTr="00A327C4">
        <w:tc>
          <w:tcPr>
            <w:tcW w:w="4540" w:type="dxa"/>
            <w:shd w:val="clear" w:color="auto" w:fill="auto"/>
            <w:vAlign w:val="center"/>
          </w:tcPr>
          <w:p w14:paraId="4F47CBCB" w14:textId="77777777" w:rsidR="00071D58" w:rsidRPr="00C225A9" w:rsidRDefault="00071D58" w:rsidP="00A327C4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C225A9">
              <w:rPr>
                <w:iCs/>
                <w:szCs w:val="22"/>
              </w:rPr>
              <w:t xml:space="preserve">Mikrokrystalická </w:t>
            </w:r>
            <w:proofErr w:type="spellStart"/>
            <w:r w:rsidRPr="00C225A9">
              <w:rPr>
                <w:iCs/>
                <w:szCs w:val="22"/>
              </w:rPr>
              <w:t>celulosa</w:t>
            </w:r>
            <w:proofErr w:type="spellEnd"/>
          </w:p>
        </w:tc>
      </w:tr>
      <w:tr w:rsidR="00071D58" w:rsidRPr="00C225A9" w14:paraId="460826E5" w14:textId="77777777" w:rsidTr="00A327C4">
        <w:tc>
          <w:tcPr>
            <w:tcW w:w="4540" w:type="dxa"/>
            <w:shd w:val="clear" w:color="auto" w:fill="auto"/>
            <w:vAlign w:val="center"/>
          </w:tcPr>
          <w:p w14:paraId="1F02B5E0" w14:textId="77777777" w:rsidR="00071D58" w:rsidRPr="00C225A9" w:rsidRDefault="00071D58" w:rsidP="00A327C4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C225A9">
              <w:rPr>
                <w:iCs/>
                <w:szCs w:val="22"/>
              </w:rPr>
              <w:t>Monohydrát</w:t>
            </w:r>
            <w:proofErr w:type="spellEnd"/>
            <w:r w:rsidRPr="00C225A9">
              <w:rPr>
                <w:iCs/>
                <w:szCs w:val="22"/>
              </w:rPr>
              <w:t xml:space="preserve"> </w:t>
            </w:r>
            <w:proofErr w:type="spellStart"/>
            <w:r w:rsidRPr="00C225A9">
              <w:rPr>
                <w:iCs/>
                <w:szCs w:val="22"/>
              </w:rPr>
              <w:t>laktosy</w:t>
            </w:r>
            <w:proofErr w:type="spellEnd"/>
          </w:p>
        </w:tc>
      </w:tr>
    </w:tbl>
    <w:p w14:paraId="41C8F4D6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56580D2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Tableta béžové barvy ve tvaru jetelového listu s dělící rýhou. Tabletu lze dělit na čtyři stejné části.</w:t>
      </w:r>
    </w:p>
    <w:p w14:paraId="320BD247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A8ECD6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236AB991" w14:textId="77777777" w:rsidR="00071D58" w:rsidRPr="00C225A9" w:rsidRDefault="00071D58" w:rsidP="00071D58">
      <w:pPr>
        <w:pStyle w:val="Style1"/>
      </w:pPr>
      <w:r w:rsidRPr="00C225A9">
        <w:t>3.</w:t>
      </w:r>
      <w:r w:rsidRPr="00C225A9">
        <w:tab/>
        <w:t>KLINICKÉ INFORMACE</w:t>
      </w:r>
    </w:p>
    <w:p w14:paraId="505DBEA6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767D161" w14:textId="77777777" w:rsidR="00071D58" w:rsidRPr="00C225A9" w:rsidRDefault="00071D58" w:rsidP="00071D58">
      <w:pPr>
        <w:pStyle w:val="Style1"/>
      </w:pPr>
      <w:r w:rsidRPr="00C225A9">
        <w:t>3.1</w:t>
      </w:r>
      <w:r w:rsidRPr="00C225A9">
        <w:tab/>
        <w:t>Cílové druhy zvířat</w:t>
      </w:r>
    </w:p>
    <w:p w14:paraId="24D83F5F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703DDC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Psi.</w:t>
      </w:r>
    </w:p>
    <w:p w14:paraId="0A5FF2F6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DF88EC7" w14:textId="77777777" w:rsidR="00071D58" w:rsidRPr="00C225A9" w:rsidRDefault="00071D58" w:rsidP="00071D58">
      <w:pPr>
        <w:pStyle w:val="Style1"/>
      </w:pPr>
      <w:r w:rsidRPr="00C225A9">
        <w:t>3.2</w:t>
      </w:r>
      <w:r w:rsidRPr="00C225A9">
        <w:tab/>
        <w:t>Indikace pro použití pro každý cílový druh zvířat</w:t>
      </w:r>
    </w:p>
    <w:p w14:paraId="638A1FBD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4F07F62" w14:textId="77777777" w:rsidR="00071D58" w:rsidRPr="00C225A9" w:rsidRDefault="00071D58" w:rsidP="00071D58">
      <w:pPr>
        <w:tabs>
          <w:tab w:val="clear" w:pos="567"/>
        </w:tabs>
        <w:spacing w:line="240" w:lineRule="auto"/>
      </w:pPr>
      <w:r w:rsidRPr="00C225A9">
        <w:t xml:space="preserve">- Léčba infikovaných ran, abscesů a infekcí ústní dutiny včetně onemocnění </w:t>
      </w:r>
      <w:proofErr w:type="spellStart"/>
      <w:r w:rsidRPr="00C225A9">
        <w:t>periodontu</w:t>
      </w:r>
      <w:proofErr w:type="spellEnd"/>
    </w:p>
    <w:p w14:paraId="5953B7C1" w14:textId="77777777" w:rsidR="00071D58" w:rsidRPr="00C225A9" w:rsidRDefault="00071D58" w:rsidP="00071D58">
      <w:pPr>
        <w:tabs>
          <w:tab w:val="clear" w:pos="567"/>
        </w:tabs>
        <w:spacing w:line="240" w:lineRule="auto"/>
      </w:pPr>
      <w:r w:rsidRPr="00C225A9">
        <w:t xml:space="preserve">vyvolaných nebo spojených s bakteriemi rodu </w:t>
      </w:r>
      <w:proofErr w:type="spellStart"/>
      <w:r w:rsidRPr="00C225A9">
        <w:rPr>
          <w:i/>
          <w:iCs/>
        </w:rPr>
        <w:t>Staphylococcus</w:t>
      </w:r>
      <w:proofErr w:type="spellEnd"/>
      <w:r w:rsidRPr="00C225A9">
        <w:rPr>
          <w:i/>
          <w:iCs/>
        </w:rPr>
        <w:t xml:space="preserve"> </w:t>
      </w:r>
      <w:proofErr w:type="spellStart"/>
      <w:r w:rsidRPr="00C225A9">
        <w:t>spp</w:t>
      </w:r>
      <w:proofErr w:type="spellEnd"/>
      <w:r w:rsidRPr="00C225A9">
        <w:t xml:space="preserve">., </w:t>
      </w:r>
      <w:proofErr w:type="spellStart"/>
      <w:r w:rsidRPr="00C225A9">
        <w:rPr>
          <w:i/>
          <w:iCs/>
        </w:rPr>
        <w:t>Streptococcus</w:t>
      </w:r>
      <w:proofErr w:type="spellEnd"/>
      <w:r w:rsidRPr="00C225A9">
        <w:rPr>
          <w:i/>
          <w:iCs/>
        </w:rPr>
        <w:t xml:space="preserve"> </w:t>
      </w:r>
      <w:proofErr w:type="spellStart"/>
      <w:r w:rsidRPr="00C225A9">
        <w:t>spp</w:t>
      </w:r>
      <w:proofErr w:type="spellEnd"/>
      <w:r w:rsidRPr="00C225A9">
        <w:t>. (s výjimkou</w:t>
      </w:r>
      <w:r>
        <w:t xml:space="preserve"> </w:t>
      </w:r>
      <w:proofErr w:type="spellStart"/>
      <w:r w:rsidRPr="00C225A9">
        <w:rPr>
          <w:i/>
          <w:iCs/>
        </w:rPr>
        <w:t>Enterococcus</w:t>
      </w:r>
      <w:proofErr w:type="spellEnd"/>
      <w:r w:rsidRPr="00C225A9">
        <w:rPr>
          <w:i/>
          <w:iCs/>
        </w:rPr>
        <w:t xml:space="preserve"> </w:t>
      </w:r>
      <w:proofErr w:type="spellStart"/>
      <w:r w:rsidRPr="00C225A9">
        <w:rPr>
          <w:i/>
          <w:iCs/>
        </w:rPr>
        <w:t>faecalis</w:t>
      </w:r>
      <w:proofErr w:type="spellEnd"/>
      <w:r w:rsidRPr="00C225A9">
        <w:rPr>
          <w:i/>
          <w:iCs/>
        </w:rPr>
        <w:t>)</w:t>
      </w:r>
      <w:r w:rsidRPr="00C225A9">
        <w:t xml:space="preserve">, </w:t>
      </w:r>
      <w:proofErr w:type="spellStart"/>
      <w:r w:rsidRPr="00C225A9">
        <w:rPr>
          <w:i/>
          <w:iCs/>
        </w:rPr>
        <w:t>Bacteroides</w:t>
      </w:r>
      <w:proofErr w:type="spellEnd"/>
      <w:r w:rsidRPr="00C225A9">
        <w:rPr>
          <w:i/>
          <w:iCs/>
        </w:rPr>
        <w:t xml:space="preserve"> </w:t>
      </w:r>
      <w:proofErr w:type="spellStart"/>
      <w:r w:rsidRPr="00C225A9">
        <w:t>spp</w:t>
      </w:r>
      <w:proofErr w:type="spellEnd"/>
      <w:r w:rsidRPr="00C225A9">
        <w:t xml:space="preserve">., </w:t>
      </w:r>
      <w:proofErr w:type="spellStart"/>
      <w:r w:rsidRPr="00C225A9">
        <w:rPr>
          <w:i/>
          <w:iCs/>
        </w:rPr>
        <w:t>Fusobacterium</w:t>
      </w:r>
      <w:proofErr w:type="spellEnd"/>
      <w:r w:rsidRPr="00C225A9">
        <w:rPr>
          <w:i/>
          <w:iCs/>
        </w:rPr>
        <w:t xml:space="preserve"> </w:t>
      </w:r>
      <w:proofErr w:type="spellStart"/>
      <w:r w:rsidRPr="00C225A9">
        <w:rPr>
          <w:i/>
          <w:iCs/>
        </w:rPr>
        <w:t>necrophorum</w:t>
      </w:r>
      <w:proofErr w:type="spellEnd"/>
      <w:r w:rsidRPr="00C225A9">
        <w:rPr>
          <w:i/>
          <w:iCs/>
        </w:rPr>
        <w:t xml:space="preserve"> a Clostridium </w:t>
      </w:r>
      <w:proofErr w:type="spellStart"/>
      <w:r w:rsidRPr="00C225A9">
        <w:rPr>
          <w:i/>
          <w:iCs/>
        </w:rPr>
        <w:t>perfringens</w:t>
      </w:r>
      <w:proofErr w:type="spellEnd"/>
      <w:r w:rsidRPr="00C225A9">
        <w:t>.</w:t>
      </w:r>
    </w:p>
    <w:p w14:paraId="7BBD4931" w14:textId="77777777" w:rsidR="00071D58" w:rsidRPr="00C225A9" w:rsidRDefault="00071D58" w:rsidP="00071D58">
      <w:pPr>
        <w:tabs>
          <w:tab w:val="clear" w:pos="567"/>
        </w:tabs>
        <w:spacing w:line="240" w:lineRule="auto"/>
      </w:pPr>
      <w:r w:rsidRPr="00C225A9">
        <w:t xml:space="preserve">- Léčba povrchové pyodermie spojené se </w:t>
      </w:r>
      <w:proofErr w:type="spellStart"/>
      <w:r w:rsidRPr="00C225A9">
        <w:rPr>
          <w:i/>
          <w:iCs/>
        </w:rPr>
        <w:t>Staphylococcus</w:t>
      </w:r>
      <w:proofErr w:type="spellEnd"/>
      <w:r w:rsidRPr="00C225A9">
        <w:rPr>
          <w:i/>
          <w:iCs/>
        </w:rPr>
        <w:t xml:space="preserve"> </w:t>
      </w:r>
      <w:proofErr w:type="spellStart"/>
      <w:r w:rsidRPr="00C225A9">
        <w:rPr>
          <w:i/>
          <w:iCs/>
        </w:rPr>
        <w:t>pseudintermedius</w:t>
      </w:r>
      <w:proofErr w:type="spellEnd"/>
      <w:r w:rsidRPr="00C225A9">
        <w:t>.</w:t>
      </w:r>
    </w:p>
    <w:p w14:paraId="27ADD417" w14:textId="77777777" w:rsidR="00071D58" w:rsidRPr="00C225A9" w:rsidRDefault="00071D58" w:rsidP="00071D58">
      <w:pPr>
        <w:tabs>
          <w:tab w:val="clear" w:pos="567"/>
        </w:tabs>
        <w:spacing w:line="240" w:lineRule="auto"/>
      </w:pPr>
      <w:r w:rsidRPr="00C225A9">
        <w:t xml:space="preserve">- Léčba osteomyelitidy vyvolané </w:t>
      </w:r>
      <w:proofErr w:type="spellStart"/>
      <w:r w:rsidRPr="00C225A9">
        <w:rPr>
          <w:i/>
          <w:iCs/>
        </w:rPr>
        <w:t>Staphylococcus</w:t>
      </w:r>
      <w:proofErr w:type="spellEnd"/>
      <w:r w:rsidRPr="00C225A9">
        <w:rPr>
          <w:i/>
          <w:iCs/>
        </w:rPr>
        <w:t xml:space="preserve"> aureus</w:t>
      </w:r>
      <w:r w:rsidRPr="00C225A9">
        <w:t>.</w:t>
      </w:r>
    </w:p>
    <w:p w14:paraId="52AE306D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F8496AB" w14:textId="77777777" w:rsidR="00071D58" w:rsidRPr="00C225A9" w:rsidRDefault="00071D58" w:rsidP="00071D58">
      <w:pPr>
        <w:pStyle w:val="Style1"/>
      </w:pPr>
      <w:r w:rsidRPr="00C225A9">
        <w:t>3.3</w:t>
      </w:r>
      <w:r w:rsidRPr="00C225A9">
        <w:tab/>
        <w:t>Kontraindikace</w:t>
      </w:r>
    </w:p>
    <w:p w14:paraId="1C950C7E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D0D06AE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 xml:space="preserve">Nepoužívat v </w:t>
      </w:r>
      <w:r w:rsidRPr="00C225A9">
        <w:t xml:space="preserve">případech </w:t>
      </w:r>
      <w:r w:rsidRPr="00C225A9">
        <w:rPr>
          <w:szCs w:val="22"/>
        </w:rPr>
        <w:t xml:space="preserve">přecitlivělosti na léčivou látku nebo na některou z pomocných látek nebo na </w:t>
      </w:r>
      <w:proofErr w:type="spellStart"/>
      <w:r w:rsidRPr="00C225A9">
        <w:rPr>
          <w:szCs w:val="22"/>
        </w:rPr>
        <w:t>linkomycin</w:t>
      </w:r>
      <w:proofErr w:type="spellEnd"/>
      <w:r w:rsidRPr="00C225A9">
        <w:rPr>
          <w:szCs w:val="22"/>
        </w:rPr>
        <w:t>.</w:t>
      </w:r>
    </w:p>
    <w:p w14:paraId="17C610F0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Nepodávat králíkům, křečkům, morčatům, činčilám, koním nebo přežvýkavcům, protože požití</w:t>
      </w:r>
    </w:p>
    <w:p w14:paraId="248484DB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225A9">
        <w:rPr>
          <w:szCs w:val="22"/>
        </w:rPr>
        <w:t>klindamycinu</w:t>
      </w:r>
      <w:proofErr w:type="spellEnd"/>
      <w:r w:rsidRPr="00C225A9">
        <w:rPr>
          <w:szCs w:val="22"/>
        </w:rPr>
        <w:t xml:space="preserve"> u těchto druhů může mít za následek závažné gastrointestinální poruchy.</w:t>
      </w:r>
    </w:p>
    <w:p w14:paraId="0AE98BD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CA69F7B" w14:textId="77777777" w:rsidR="00071D58" w:rsidRPr="00C225A9" w:rsidRDefault="00071D58" w:rsidP="00071D58">
      <w:pPr>
        <w:pStyle w:val="Style1"/>
      </w:pPr>
      <w:r w:rsidRPr="00C225A9">
        <w:t>3.4</w:t>
      </w:r>
      <w:r w:rsidRPr="00C225A9">
        <w:tab/>
        <w:t>Zvláštní upozornění</w:t>
      </w:r>
    </w:p>
    <w:p w14:paraId="5F410C7F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D8943AB" w14:textId="77777777" w:rsidR="00071D58" w:rsidRPr="00C225A9" w:rsidRDefault="00071D58" w:rsidP="00071D58">
      <w:pPr>
        <w:tabs>
          <w:tab w:val="clear" w:pos="567"/>
        </w:tabs>
        <w:spacing w:line="240" w:lineRule="auto"/>
      </w:pPr>
      <w:r w:rsidRPr="00C225A9">
        <w:t>Nejsou.</w:t>
      </w:r>
    </w:p>
    <w:p w14:paraId="75F5E7A9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5C537DA" w14:textId="77777777" w:rsidR="00071D58" w:rsidRPr="00C225A9" w:rsidRDefault="00071D58" w:rsidP="00071D58">
      <w:pPr>
        <w:pStyle w:val="Style1"/>
      </w:pPr>
      <w:r w:rsidRPr="00C225A9">
        <w:lastRenderedPageBreak/>
        <w:t>3.5</w:t>
      </w:r>
      <w:r w:rsidRPr="00C225A9">
        <w:tab/>
        <w:t>Zvláštní opatření pro použití</w:t>
      </w:r>
    </w:p>
    <w:p w14:paraId="29FC90F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9524DCA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225A9">
        <w:rPr>
          <w:szCs w:val="22"/>
          <w:u w:val="single"/>
        </w:rPr>
        <w:t>Zvláštní opatření pro bezpečné použití u cílových druhů zvířat:</w:t>
      </w:r>
    </w:p>
    <w:p w14:paraId="457F141A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Žvýkací tablety jsou ochucené. K zamezení náhodnému požití, skladujte tablety mimo dosah zvířat.</w:t>
      </w:r>
    </w:p>
    <w:p w14:paraId="3732FB7E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Veterinární léčivý přípravek by měl být používán na základě výsledku stanovení citlivosti bakterií izolovaných ze zvířete.</w:t>
      </w:r>
    </w:p>
    <w:p w14:paraId="39E6E6A4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Při použití tohoto veterinárního léčivého přípravku by měly být vzaty v úvahu principy oficiální a národní antibiotické politiky.</w:t>
      </w:r>
    </w:p>
    <w:p w14:paraId="6A2B018F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 xml:space="preserve">Použití veterinárního léčivého přípravku v rozporu s pokyny uvedenými v tomto souhrnu údajů o přípravku (SPC) může vést ke zvýšení prevalence bakterií rezistentních na </w:t>
      </w:r>
      <w:proofErr w:type="spellStart"/>
      <w:r w:rsidRPr="00C225A9">
        <w:rPr>
          <w:szCs w:val="22"/>
        </w:rPr>
        <w:t>klindamycin</w:t>
      </w:r>
      <w:proofErr w:type="spellEnd"/>
      <w:r w:rsidRPr="00C225A9">
        <w:rPr>
          <w:szCs w:val="22"/>
        </w:rPr>
        <w:t xml:space="preserve"> a ke snížení účinnosti léčby </w:t>
      </w:r>
      <w:proofErr w:type="spellStart"/>
      <w:r w:rsidRPr="00C225A9">
        <w:rPr>
          <w:szCs w:val="22"/>
        </w:rPr>
        <w:t>linkomycinem</w:t>
      </w:r>
      <w:proofErr w:type="spellEnd"/>
      <w:r w:rsidRPr="00C225A9">
        <w:rPr>
          <w:szCs w:val="22"/>
        </w:rPr>
        <w:t xml:space="preserve"> nebo </w:t>
      </w:r>
      <w:proofErr w:type="spellStart"/>
      <w:r w:rsidRPr="00C225A9">
        <w:rPr>
          <w:szCs w:val="22"/>
        </w:rPr>
        <w:t>antimikrobiky</w:t>
      </w:r>
      <w:proofErr w:type="spellEnd"/>
      <w:r w:rsidRPr="00C225A9">
        <w:rPr>
          <w:szCs w:val="22"/>
        </w:rPr>
        <w:t xml:space="preserve"> ze skupiny </w:t>
      </w:r>
      <w:proofErr w:type="spellStart"/>
      <w:r w:rsidRPr="00C225A9">
        <w:rPr>
          <w:szCs w:val="22"/>
        </w:rPr>
        <w:t>makrolidů</w:t>
      </w:r>
      <w:proofErr w:type="spellEnd"/>
      <w:r w:rsidRPr="00C225A9">
        <w:rPr>
          <w:szCs w:val="22"/>
        </w:rPr>
        <w:t xml:space="preserve"> z důvodů možné zkřížené rezistence.</w:t>
      </w:r>
    </w:p>
    <w:p w14:paraId="0EE7BEF1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225A9">
        <w:rPr>
          <w:szCs w:val="22"/>
        </w:rPr>
        <w:t>Klindamycin</w:t>
      </w:r>
      <w:proofErr w:type="spellEnd"/>
      <w:r w:rsidRPr="00C225A9">
        <w:rPr>
          <w:szCs w:val="22"/>
        </w:rPr>
        <w:t xml:space="preserve"> a </w:t>
      </w:r>
      <w:proofErr w:type="spellStart"/>
      <w:r w:rsidRPr="00C225A9">
        <w:rPr>
          <w:szCs w:val="22"/>
        </w:rPr>
        <w:t>erythromycin</w:t>
      </w:r>
      <w:proofErr w:type="spellEnd"/>
      <w:r w:rsidRPr="00C225A9">
        <w:rPr>
          <w:szCs w:val="22"/>
        </w:rPr>
        <w:t xml:space="preserve"> vykazují zkříženou rezistenci. Částečná zkřížená rezistence byla</w:t>
      </w:r>
    </w:p>
    <w:p w14:paraId="6B94DDEB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 xml:space="preserve">prokázána mezi </w:t>
      </w:r>
      <w:proofErr w:type="spellStart"/>
      <w:r w:rsidRPr="00C225A9">
        <w:rPr>
          <w:szCs w:val="22"/>
        </w:rPr>
        <w:t>klindamycinem</w:t>
      </w:r>
      <w:proofErr w:type="spellEnd"/>
      <w:r w:rsidRPr="00C225A9">
        <w:rPr>
          <w:szCs w:val="22"/>
        </w:rPr>
        <w:t xml:space="preserve">, </w:t>
      </w:r>
      <w:proofErr w:type="spellStart"/>
      <w:r w:rsidRPr="00C225A9">
        <w:rPr>
          <w:szCs w:val="22"/>
        </w:rPr>
        <w:t>erythromycinem</w:t>
      </w:r>
      <w:proofErr w:type="spellEnd"/>
      <w:r w:rsidRPr="00C225A9">
        <w:rPr>
          <w:szCs w:val="22"/>
        </w:rPr>
        <w:t xml:space="preserve"> a jinými </w:t>
      </w:r>
      <w:proofErr w:type="spellStart"/>
      <w:r w:rsidRPr="00C225A9">
        <w:rPr>
          <w:szCs w:val="22"/>
        </w:rPr>
        <w:t>makrolidovými</w:t>
      </w:r>
      <w:proofErr w:type="spellEnd"/>
      <w:r w:rsidRPr="00C225A9">
        <w:rPr>
          <w:szCs w:val="22"/>
        </w:rPr>
        <w:t xml:space="preserve"> antibiotiky.</w:t>
      </w:r>
    </w:p>
    <w:p w14:paraId="49126D51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Při dlouhodobé terapii trvající jeden měsíc nebo déle by měly být pravidelně prováděny</w:t>
      </w:r>
      <w:r>
        <w:rPr>
          <w:szCs w:val="22"/>
        </w:rPr>
        <w:t xml:space="preserve"> </w:t>
      </w:r>
      <w:r w:rsidRPr="00C225A9">
        <w:rPr>
          <w:szCs w:val="22"/>
        </w:rPr>
        <w:t>testy funkce jater a ledvin a testy krevního obrazu.</w:t>
      </w:r>
    </w:p>
    <w:p w14:paraId="62F89A75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 xml:space="preserve">U zvířat s těžkou renální a/nebo </w:t>
      </w:r>
      <w:proofErr w:type="spellStart"/>
      <w:r w:rsidRPr="00C225A9">
        <w:rPr>
          <w:szCs w:val="22"/>
        </w:rPr>
        <w:t>hepatální</w:t>
      </w:r>
      <w:proofErr w:type="spellEnd"/>
      <w:r w:rsidRPr="00C225A9">
        <w:rPr>
          <w:szCs w:val="22"/>
        </w:rPr>
        <w:t xml:space="preserve"> dysfunkcí doprovázenou závažnými metabolickými poruchami je třeba zvlášť opatrně zvažovat dávkování veterinárního léčivého přípravku a v případě použití režimu s vysokou dávkou </w:t>
      </w:r>
      <w:proofErr w:type="spellStart"/>
      <w:r w:rsidRPr="00C225A9">
        <w:rPr>
          <w:szCs w:val="22"/>
        </w:rPr>
        <w:t>klindamycinu</w:t>
      </w:r>
      <w:proofErr w:type="spellEnd"/>
      <w:r w:rsidRPr="00C225A9">
        <w:rPr>
          <w:szCs w:val="22"/>
        </w:rPr>
        <w:t xml:space="preserve"> musí být zdravotní stav zvířat monitorován biochemickým vyšetřením krevního séra.</w:t>
      </w:r>
    </w:p>
    <w:p w14:paraId="764A7921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225A9">
        <w:rPr>
          <w:szCs w:val="22"/>
        </w:rPr>
        <w:t>Klindamycin</w:t>
      </w:r>
      <w:proofErr w:type="spellEnd"/>
      <w:r w:rsidRPr="00C225A9">
        <w:rPr>
          <w:szCs w:val="22"/>
        </w:rPr>
        <w:t xml:space="preserve"> v některých případech vyvolává přemnožení necitlivých organismů, jako jsou klostridie a kvasinky. V případě superinfekce je nutné přijmout vhodná opatření v závislosti na klinické situaci.</w:t>
      </w:r>
    </w:p>
    <w:p w14:paraId="2215E625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D2AD65C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225A9">
        <w:rPr>
          <w:szCs w:val="22"/>
          <w:u w:val="single"/>
        </w:rPr>
        <w:t>Zvláštní opatření pro osobu, která podává veterinární léčivý přípravek zvířatům:</w:t>
      </w:r>
    </w:p>
    <w:p w14:paraId="2F6E54C0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 xml:space="preserve">Lidé se známou přecitlivělostí na </w:t>
      </w:r>
      <w:proofErr w:type="spellStart"/>
      <w:r w:rsidRPr="00C225A9">
        <w:rPr>
          <w:szCs w:val="22"/>
        </w:rPr>
        <w:t>linkosamidy</w:t>
      </w:r>
      <w:proofErr w:type="spellEnd"/>
      <w:r w:rsidRPr="00C225A9">
        <w:rPr>
          <w:szCs w:val="22"/>
        </w:rPr>
        <w:t xml:space="preserve"> (</w:t>
      </w:r>
      <w:proofErr w:type="spellStart"/>
      <w:r w:rsidRPr="00C225A9">
        <w:rPr>
          <w:szCs w:val="22"/>
        </w:rPr>
        <w:t>linkomycin</w:t>
      </w:r>
      <w:proofErr w:type="spellEnd"/>
      <w:r w:rsidRPr="00C225A9">
        <w:rPr>
          <w:szCs w:val="22"/>
        </w:rPr>
        <w:t xml:space="preserve"> a </w:t>
      </w:r>
      <w:proofErr w:type="spellStart"/>
      <w:r w:rsidRPr="00C225A9">
        <w:rPr>
          <w:szCs w:val="22"/>
        </w:rPr>
        <w:t>klindamycin</w:t>
      </w:r>
      <w:proofErr w:type="spellEnd"/>
      <w:r w:rsidRPr="00C225A9">
        <w:rPr>
          <w:szCs w:val="22"/>
        </w:rPr>
        <w:t>) by se měli vyhnout</w:t>
      </w:r>
    </w:p>
    <w:p w14:paraId="36B60E9C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kontaktu s veterinárním léčivým přípravkem.</w:t>
      </w:r>
    </w:p>
    <w:p w14:paraId="015B4DBE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Po nakládání s tabletami si umyjte ruce.</w:t>
      </w:r>
    </w:p>
    <w:p w14:paraId="26C2280C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Náhodné požití může způsobit gastrointestinální potíže, jako je bolest břicha a průjem. Zabraňte</w:t>
      </w:r>
    </w:p>
    <w:p w14:paraId="01872CC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náhodnému požití.</w:t>
      </w:r>
    </w:p>
    <w:p w14:paraId="39CD9A29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V případě náhodného požití, zejména dětmi, vyhledejte ihned lékařskou pomoc a ukažte příbalovou</w:t>
      </w:r>
    </w:p>
    <w:p w14:paraId="1F9FDA25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informaci nebo etiketu praktickému lékaři.</w:t>
      </w:r>
    </w:p>
    <w:p w14:paraId="52809076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2932E299" w14:textId="77777777" w:rsidR="00071D58" w:rsidRPr="00C225A9" w:rsidRDefault="00071D58" w:rsidP="00071D5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C225A9">
        <w:rPr>
          <w:szCs w:val="22"/>
          <w:u w:val="single"/>
        </w:rPr>
        <w:t>Zvláštní opatření pro ochranu životního prostředí:</w:t>
      </w:r>
    </w:p>
    <w:p w14:paraId="202BD85B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t>Neuplatňuje se.</w:t>
      </w:r>
    </w:p>
    <w:p w14:paraId="4D17ED8E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2A0139E7" w14:textId="77777777" w:rsidR="00071D58" w:rsidRPr="00C225A9" w:rsidRDefault="00071D58" w:rsidP="00071D58">
      <w:pPr>
        <w:pStyle w:val="Style1"/>
      </w:pPr>
      <w:r w:rsidRPr="00C225A9">
        <w:t>3.6</w:t>
      </w:r>
      <w:r w:rsidRPr="00C225A9">
        <w:tab/>
        <w:t>Nežádoucí účinky</w:t>
      </w:r>
    </w:p>
    <w:p w14:paraId="0C171A2E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D54003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t>Psi:</w:t>
      </w:r>
    </w:p>
    <w:p w14:paraId="4A99564F" w14:textId="77777777" w:rsidR="00071D58" w:rsidRPr="00C225A9" w:rsidRDefault="00071D58" w:rsidP="00071D58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71D58" w:rsidRPr="00C225A9" w14:paraId="523B3F7A" w14:textId="77777777" w:rsidTr="00A327C4">
        <w:tc>
          <w:tcPr>
            <w:tcW w:w="1957" w:type="pct"/>
          </w:tcPr>
          <w:p w14:paraId="7790F92D" w14:textId="77777777" w:rsidR="00071D58" w:rsidRPr="00C225A9" w:rsidRDefault="00071D58" w:rsidP="00A327C4">
            <w:pPr>
              <w:spacing w:before="60" w:after="60"/>
              <w:rPr>
                <w:szCs w:val="22"/>
              </w:rPr>
            </w:pPr>
            <w:r w:rsidRPr="00C225A9">
              <w:t>Velmi vzácné</w:t>
            </w:r>
          </w:p>
          <w:p w14:paraId="0FB42372" w14:textId="77777777" w:rsidR="00071D58" w:rsidRPr="00C225A9" w:rsidRDefault="00071D58" w:rsidP="00A327C4">
            <w:pPr>
              <w:spacing w:before="60" w:after="60"/>
              <w:rPr>
                <w:szCs w:val="22"/>
              </w:rPr>
            </w:pPr>
            <w:r w:rsidRPr="00C225A9"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CC075B4" w14:textId="77777777" w:rsidR="00071D58" w:rsidRPr="00C225A9" w:rsidRDefault="00071D58" w:rsidP="00A327C4">
            <w:pPr>
              <w:spacing w:before="60" w:after="60"/>
            </w:pPr>
            <w:r w:rsidRPr="00C225A9">
              <w:t>Hypersenzitivní reakce</w:t>
            </w:r>
          </w:p>
          <w:p w14:paraId="4E703116" w14:textId="77777777" w:rsidR="00071D58" w:rsidRPr="00C225A9" w:rsidRDefault="00071D58" w:rsidP="00A327C4">
            <w:pPr>
              <w:spacing w:before="60" w:after="60"/>
              <w:rPr>
                <w:iCs/>
                <w:szCs w:val="22"/>
              </w:rPr>
            </w:pPr>
            <w:r w:rsidRPr="00C225A9">
              <w:rPr>
                <w:iCs/>
                <w:szCs w:val="22"/>
              </w:rPr>
              <w:t>Trombocytopenie</w:t>
            </w:r>
          </w:p>
          <w:p w14:paraId="411809C2" w14:textId="77777777" w:rsidR="00071D58" w:rsidRPr="00C225A9" w:rsidRDefault="00071D58" w:rsidP="00A327C4">
            <w:pPr>
              <w:spacing w:before="60" w:after="60"/>
              <w:rPr>
                <w:iCs/>
                <w:szCs w:val="22"/>
              </w:rPr>
            </w:pPr>
            <w:r w:rsidRPr="00C225A9">
              <w:rPr>
                <w:iCs/>
                <w:szCs w:val="22"/>
              </w:rPr>
              <w:t>Zvracení, průjem</w:t>
            </w:r>
          </w:p>
        </w:tc>
      </w:tr>
    </w:tbl>
    <w:p w14:paraId="45FF09A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4223FCE" w14:textId="77777777" w:rsidR="00071D58" w:rsidRPr="00C225A9" w:rsidRDefault="00071D58" w:rsidP="00071D58">
      <w:r w:rsidRPr="00C225A9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</w:t>
      </w:r>
    </w:p>
    <w:p w14:paraId="10F6B082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2DE2991" w14:textId="77777777" w:rsidR="00071D58" w:rsidRPr="00C225A9" w:rsidRDefault="00071D58" w:rsidP="00071D58">
      <w:pPr>
        <w:pStyle w:val="Style1"/>
      </w:pPr>
      <w:r w:rsidRPr="00C225A9">
        <w:t>3.7</w:t>
      </w:r>
      <w:r w:rsidRPr="00C225A9">
        <w:tab/>
        <w:t>Použití v průběhu březosti, laktace nebo snášky</w:t>
      </w:r>
    </w:p>
    <w:p w14:paraId="7FED7E4E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5138659" w14:textId="77777777" w:rsidR="00071D58" w:rsidRPr="00C225A9" w:rsidRDefault="00071D58" w:rsidP="00071D58">
      <w:pPr>
        <w:tabs>
          <w:tab w:val="clear" w:pos="567"/>
        </w:tabs>
        <w:spacing w:line="240" w:lineRule="auto"/>
      </w:pPr>
      <w:r w:rsidRPr="00C225A9">
        <w:rPr>
          <w:u w:val="single"/>
        </w:rPr>
        <w:t>Březost</w:t>
      </w:r>
      <w:r w:rsidRPr="00C225A9">
        <w:t xml:space="preserve"> </w:t>
      </w:r>
      <w:r w:rsidRPr="00C225A9">
        <w:rPr>
          <w:szCs w:val="22"/>
          <w:u w:val="single"/>
        </w:rPr>
        <w:t>a laktace</w:t>
      </w:r>
      <w:r w:rsidRPr="00C225A9">
        <w:t>:</w:t>
      </w:r>
    </w:p>
    <w:p w14:paraId="6915E2AA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Zatímco studie s použitím vysoké dávky u potkanů nepodaly důkaz o teratogenním účinku</w:t>
      </w:r>
    </w:p>
    <w:p w14:paraId="07A587E7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225A9">
        <w:rPr>
          <w:szCs w:val="22"/>
        </w:rPr>
        <w:t>klindamycinu</w:t>
      </w:r>
      <w:proofErr w:type="spellEnd"/>
      <w:r w:rsidRPr="00C225A9">
        <w:rPr>
          <w:szCs w:val="22"/>
        </w:rPr>
        <w:t xml:space="preserve"> ani o účinku </w:t>
      </w:r>
      <w:proofErr w:type="spellStart"/>
      <w:r w:rsidRPr="00C225A9">
        <w:rPr>
          <w:szCs w:val="22"/>
        </w:rPr>
        <w:t>klindamycinu</w:t>
      </w:r>
      <w:proofErr w:type="spellEnd"/>
      <w:r w:rsidRPr="00C225A9">
        <w:rPr>
          <w:szCs w:val="22"/>
        </w:rPr>
        <w:t xml:space="preserve"> na reprodukci u samců a samic, nebyla stanovena bezpečnost</w:t>
      </w:r>
    </w:p>
    <w:p w14:paraId="745B4ADC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u březích fen nebo chovných psů.</w:t>
      </w:r>
    </w:p>
    <w:p w14:paraId="6D53BEA0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225A9">
        <w:rPr>
          <w:szCs w:val="22"/>
        </w:rPr>
        <w:t>Klindamycin</w:t>
      </w:r>
      <w:proofErr w:type="spellEnd"/>
      <w:r w:rsidRPr="00C225A9">
        <w:rPr>
          <w:szCs w:val="22"/>
        </w:rPr>
        <w:t xml:space="preserve"> prochází placentární bariérou a přechází do mléka.</w:t>
      </w:r>
    </w:p>
    <w:p w14:paraId="40C4DEC2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lastRenderedPageBreak/>
        <w:t xml:space="preserve">Léčba </w:t>
      </w:r>
      <w:proofErr w:type="spellStart"/>
      <w:r w:rsidRPr="00C225A9">
        <w:rPr>
          <w:szCs w:val="22"/>
        </w:rPr>
        <w:t>laktujících</w:t>
      </w:r>
      <w:proofErr w:type="spellEnd"/>
      <w:r w:rsidRPr="00C225A9">
        <w:rPr>
          <w:szCs w:val="22"/>
        </w:rPr>
        <w:t xml:space="preserve"> fen může způsobit průjem u štěňat sajících jejich mléko.</w:t>
      </w:r>
    </w:p>
    <w:p w14:paraId="5BA2A233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t>Použít pouze po zvážení terapeutického prospěchu a rizika příslušným veterinárním lékařem.</w:t>
      </w:r>
    </w:p>
    <w:p w14:paraId="093563AF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Nedoporučuje se použití </w:t>
      </w:r>
      <w:r w:rsidRPr="00C225A9">
        <w:rPr>
          <w:szCs w:val="22"/>
        </w:rPr>
        <w:t>u novorozených mláďat.</w:t>
      </w:r>
    </w:p>
    <w:p w14:paraId="603DEC4A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29ECA2B" w14:textId="77777777" w:rsidR="00071D58" w:rsidRPr="00C225A9" w:rsidRDefault="00071D58" w:rsidP="00071D58">
      <w:pPr>
        <w:pStyle w:val="Style1"/>
      </w:pPr>
      <w:r w:rsidRPr="00C225A9">
        <w:t>3.8</w:t>
      </w:r>
      <w:r w:rsidRPr="00C225A9">
        <w:tab/>
        <w:t>Interakce s jinými léčivými přípravky a další formy interakce</w:t>
      </w:r>
    </w:p>
    <w:p w14:paraId="60BEB40D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F0E4E29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 xml:space="preserve">Bylo prokázáno, že </w:t>
      </w:r>
      <w:proofErr w:type="spellStart"/>
      <w:r w:rsidRPr="00C225A9">
        <w:rPr>
          <w:szCs w:val="22"/>
        </w:rPr>
        <w:t>klindamycin</w:t>
      </w:r>
      <w:proofErr w:type="spellEnd"/>
      <w:r w:rsidRPr="00C225A9">
        <w:rPr>
          <w:szCs w:val="22"/>
        </w:rPr>
        <w:t xml:space="preserve"> </w:t>
      </w:r>
      <w:proofErr w:type="spellStart"/>
      <w:r w:rsidRPr="00C225A9">
        <w:rPr>
          <w:szCs w:val="22"/>
        </w:rPr>
        <w:t>hydrochlorid</w:t>
      </w:r>
      <w:proofErr w:type="spellEnd"/>
      <w:r w:rsidRPr="00C225A9">
        <w:rPr>
          <w:szCs w:val="22"/>
        </w:rPr>
        <w:t xml:space="preserve"> má schopnost blokovat nervosvalový přenos signálů,</w:t>
      </w:r>
    </w:p>
    <w:p w14:paraId="32D942E7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což může zvyšovat účinek ostatních nervosvalových blokátorů. Zvířatům, kterým jsou takové látky</w:t>
      </w:r>
      <w:r>
        <w:rPr>
          <w:szCs w:val="22"/>
        </w:rPr>
        <w:t xml:space="preserve"> </w:t>
      </w:r>
      <w:r w:rsidRPr="00C225A9">
        <w:rPr>
          <w:szCs w:val="22"/>
        </w:rPr>
        <w:t>podávány, by měl být veterinární léčivý přípravek podáván obezřetně.</w:t>
      </w:r>
    </w:p>
    <w:p w14:paraId="53E860BF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225A9">
        <w:rPr>
          <w:szCs w:val="22"/>
        </w:rPr>
        <w:t>Klindamycin</w:t>
      </w:r>
      <w:proofErr w:type="spellEnd"/>
      <w:r w:rsidRPr="00C225A9">
        <w:rPr>
          <w:szCs w:val="22"/>
        </w:rPr>
        <w:t xml:space="preserve"> nesmí být podáván současně s </w:t>
      </w:r>
      <w:proofErr w:type="spellStart"/>
      <w:r w:rsidRPr="00C225A9">
        <w:rPr>
          <w:szCs w:val="22"/>
        </w:rPr>
        <w:t>erythromycinem</w:t>
      </w:r>
      <w:proofErr w:type="spellEnd"/>
      <w:r w:rsidRPr="00C225A9">
        <w:rPr>
          <w:szCs w:val="22"/>
        </w:rPr>
        <w:t xml:space="preserve"> nebo jinými </w:t>
      </w:r>
      <w:proofErr w:type="spellStart"/>
      <w:r w:rsidRPr="00C225A9">
        <w:rPr>
          <w:szCs w:val="22"/>
        </w:rPr>
        <w:t>makrolidy</w:t>
      </w:r>
      <w:proofErr w:type="spellEnd"/>
      <w:r w:rsidRPr="00C225A9">
        <w:rPr>
          <w:szCs w:val="22"/>
        </w:rPr>
        <w:t xml:space="preserve">, aby se předešlo vzniku </w:t>
      </w:r>
      <w:proofErr w:type="spellStart"/>
      <w:r w:rsidRPr="00C225A9">
        <w:rPr>
          <w:szCs w:val="22"/>
        </w:rPr>
        <w:t>makrolidy</w:t>
      </w:r>
      <w:proofErr w:type="spellEnd"/>
      <w:r w:rsidRPr="00C225A9">
        <w:rPr>
          <w:szCs w:val="22"/>
        </w:rPr>
        <w:t xml:space="preserve"> indukované rezistence vůči </w:t>
      </w:r>
      <w:proofErr w:type="spellStart"/>
      <w:r w:rsidRPr="00C225A9">
        <w:rPr>
          <w:szCs w:val="22"/>
        </w:rPr>
        <w:t>klindamycinu</w:t>
      </w:r>
      <w:proofErr w:type="spellEnd"/>
      <w:r w:rsidRPr="00C225A9">
        <w:rPr>
          <w:szCs w:val="22"/>
        </w:rPr>
        <w:t>.</w:t>
      </w:r>
    </w:p>
    <w:p w14:paraId="14D46E82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225A9">
        <w:rPr>
          <w:szCs w:val="22"/>
        </w:rPr>
        <w:t>Klindamycin</w:t>
      </w:r>
      <w:proofErr w:type="spellEnd"/>
      <w:r w:rsidRPr="00C225A9">
        <w:rPr>
          <w:szCs w:val="22"/>
        </w:rPr>
        <w:t xml:space="preserve"> může snižovat plazmatické hladiny cyklosporinu, což může vést ke snížení jeho účinnosti.</w:t>
      </w:r>
    </w:p>
    <w:p w14:paraId="34A03304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 xml:space="preserve">Při současném užívání </w:t>
      </w:r>
      <w:proofErr w:type="spellStart"/>
      <w:r w:rsidRPr="00C225A9">
        <w:rPr>
          <w:szCs w:val="22"/>
        </w:rPr>
        <w:t>klindamycinu</w:t>
      </w:r>
      <w:proofErr w:type="spellEnd"/>
      <w:r w:rsidRPr="00C225A9">
        <w:rPr>
          <w:szCs w:val="22"/>
        </w:rPr>
        <w:t xml:space="preserve"> a aminoglykosidů (např. </w:t>
      </w:r>
      <w:proofErr w:type="spellStart"/>
      <w:r w:rsidRPr="00C225A9">
        <w:rPr>
          <w:szCs w:val="22"/>
        </w:rPr>
        <w:t>gentamicinu</w:t>
      </w:r>
      <w:proofErr w:type="spellEnd"/>
      <w:r w:rsidRPr="00C225A9">
        <w:rPr>
          <w:szCs w:val="22"/>
        </w:rPr>
        <w:t>) nelze vyloučit riziko</w:t>
      </w:r>
    </w:p>
    <w:p w14:paraId="00D1E65E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nežádoucích interakcí (akutní selhání ledvin).</w:t>
      </w:r>
    </w:p>
    <w:p w14:paraId="0F7F4352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204669D9" w14:textId="77777777" w:rsidR="00071D58" w:rsidRPr="00C225A9" w:rsidRDefault="00071D58" w:rsidP="00071D58">
      <w:pPr>
        <w:pStyle w:val="Style1"/>
      </w:pPr>
      <w:r w:rsidRPr="00C225A9">
        <w:t>3.9</w:t>
      </w:r>
      <w:r w:rsidRPr="00C225A9">
        <w:tab/>
        <w:t>Cesty podání a dávkování</w:t>
      </w:r>
    </w:p>
    <w:p w14:paraId="48576CA1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CEF46EC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Perorální podání.</w:t>
      </w:r>
    </w:p>
    <w:p w14:paraId="6280B994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F5C478A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 xml:space="preserve">1. K léčbě infikovaných ran a abscesů a infekcí ústní dutiny včetně onemocnění </w:t>
      </w:r>
      <w:proofErr w:type="spellStart"/>
      <w:r w:rsidRPr="00C225A9">
        <w:rPr>
          <w:szCs w:val="22"/>
        </w:rPr>
        <w:t>periodontu</w:t>
      </w:r>
      <w:proofErr w:type="spellEnd"/>
      <w:r w:rsidRPr="00C225A9">
        <w:rPr>
          <w:szCs w:val="22"/>
        </w:rPr>
        <w:t xml:space="preserve"> podávejte</w:t>
      </w:r>
    </w:p>
    <w:p w14:paraId="1231851A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buď:</w:t>
      </w:r>
    </w:p>
    <w:p w14:paraId="10CBF59D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- 5,5 mg/kg ž.hm. každých 12 hodin po dobu 7-10 dnů, nebo</w:t>
      </w:r>
    </w:p>
    <w:p w14:paraId="7B9A403A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- 11 mg/kg ž.hm. každých 24 hodin po dobu 7 až 10 dnů.</w:t>
      </w:r>
    </w:p>
    <w:p w14:paraId="679EFA1D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Pokud se neprojeví žádná klinická odpověď do 4 dnů, je potřeba přehodnotit diagnózu.</w:t>
      </w:r>
    </w:p>
    <w:p w14:paraId="58EE0CEA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F7259CE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2. K léčbě povrchové pyodermie u psů podávejte buď:</w:t>
      </w:r>
    </w:p>
    <w:p w14:paraId="20EC03C9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- 5,5 mg/kg ž.hm. každých 12 hodin, nebo</w:t>
      </w:r>
    </w:p>
    <w:p w14:paraId="195A089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- 11 mg/kg ž.hm. každých 24 hodin.</w:t>
      </w:r>
    </w:p>
    <w:p w14:paraId="2E086924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Doporučená délka léčby povrchové pyodermie je obvykle 21 dnů, s tím, že je možné na základě</w:t>
      </w:r>
    </w:p>
    <w:p w14:paraId="13B64D3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klinického posouzení rozhodnout o jejím prodloužení.</w:t>
      </w:r>
    </w:p>
    <w:p w14:paraId="53BD073A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5CB2A84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3. K léčbě osteomyelitidy u psů podávejte:</w:t>
      </w:r>
    </w:p>
    <w:p w14:paraId="2E2AD9C1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- 11 mg/kg ž.hm. každých 12 hodin po dobu nejméně 28 dnů.</w:t>
      </w:r>
    </w:p>
    <w:p w14:paraId="3CF085C0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Pokud se během 14 dnů nedostaví žádná klinická odpověď, je nutné léčbu ukončit a přehodnotit</w:t>
      </w:r>
    </w:p>
    <w:p w14:paraId="7247D8E9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diagnózu.</w:t>
      </w:r>
    </w:p>
    <w:p w14:paraId="49594B65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1AE3923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Příklad dávkování:</w:t>
      </w:r>
    </w:p>
    <w:p w14:paraId="13D2A63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• Pro dávkování 11 mg/kg</w:t>
      </w:r>
    </w:p>
    <w:p w14:paraId="133F7629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4"/>
        <w:gridCol w:w="2864"/>
      </w:tblGrid>
      <w:tr w:rsidR="00071D58" w:rsidRPr="00C225A9" w14:paraId="0F799157" w14:textId="77777777" w:rsidTr="00A327C4">
        <w:tc>
          <w:tcPr>
            <w:tcW w:w="1984" w:type="dxa"/>
          </w:tcPr>
          <w:p w14:paraId="04A4B5C6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b/>
                <w:bCs/>
                <w:szCs w:val="22"/>
              </w:rPr>
              <w:t>Hmotnost (kg)</w:t>
            </w:r>
          </w:p>
        </w:tc>
        <w:tc>
          <w:tcPr>
            <w:tcW w:w="2864" w:type="dxa"/>
          </w:tcPr>
          <w:p w14:paraId="3DDE2D38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b/>
                <w:bCs/>
                <w:szCs w:val="22"/>
              </w:rPr>
              <w:t>Počet podávaných tablet</w:t>
            </w:r>
          </w:p>
        </w:tc>
      </w:tr>
      <w:tr w:rsidR="00071D58" w:rsidRPr="00C225A9" w14:paraId="702677B3" w14:textId="77777777" w:rsidTr="00A327C4">
        <w:tc>
          <w:tcPr>
            <w:tcW w:w="1984" w:type="dxa"/>
          </w:tcPr>
          <w:p w14:paraId="45C981D5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>2,5 – 3,4</w:t>
            </w:r>
          </w:p>
        </w:tc>
        <w:tc>
          <w:tcPr>
            <w:tcW w:w="2864" w:type="dxa"/>
          </w:tcPr>
          <w:p w14:paraId="5E86B04E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 xml:space="preserve">¼ </w:t>
            </w:r>
            <w:proofErr w:type="spellStart"/>
            <w:r w:rsidRPr="00C225A9">
              <w:rPr>
                <w:szCs w:val="22"/>
              </w:rPr>
              <w:t>tab</w:t>
            </w:r>
            <w:proofErr w:type="spellEnd"/>
          </w:p>
        </w:tc>
      </w:tr>
      <w:tr w:rsidR="00071D58" w:rsidRPr="00C225A9" w14:paraId="78A44FA8" w14:textId="77777777" w:rsidTr="00A327C4">
        <w:tc>
          <w:tcPr>
            <w:tcW w:w="1984" w:type="dxa"/>
          </w:tcPr>
          <w:p w14:paraId="0ECB064A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>3,4 - 4,4</w:t>
            </w:r>
          </w:p>
        </w:tc>
        <w:tc>
          <w:tcPr>
            <w:tcW w:w="2864" w:type="dxa"/>
          </w:tcPr>
          <w:p w14:paraId="1DBD0CE4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 xml:space="preserve">použijte </w:t>
            </w:r>
            <w:proofErr w:type="spellStart"/>
            <w:r w:rsidRPr="00C225A9">
              <w:rPr>
                <w:szCs w:val="22"/>
              </w:rPr>
              <w:t>Zodon</w:t>
            </w:r>
            <w:proofErr w:type="spellEnd"/>
            <w:r w:rsidRPr="00C225A9">
              <w:rPr>
                <w:szCs w:val="22"/>
              </w:rPr>
              <w:t xml:space="preserve"> 88 mg</w:t>
            </w:r>
          </w:p>
        </w:tc>
      </w:tr>
      <w:tr w:rsidR="00071D58" w:rsidRPr="00C225A9" w14:paraId="613178C8" w14:textId="77777777" w:rsidTr="00A327C4">
        <w:tc>
          <w:tcPr>
            <w:tcW w:w="1984" w:type="dxa"/>
          </w:tcPr>
          <w:p w14:paraId="5290CF26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 xml:space="preserve">4,5 – 6,5 </w:t>
            </w:r>
          </w:p>
        </w:tc>
        <w:tc>
          <w:tcPr>
            <w:tcW w:w="2864" w:type="dxa"/>
          </w:tcPr>
          <w:p w14:paraId="1867CD08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 xml:space="preserve">½ </w:t>
            </w:r>
            <w:proofErr w:type="spellStart"/>
            <w:r w:rsidRPr="00C225A9">
              <w:rPr>
                <w:szCs w:val="22"/>
              </w:rPr>
              <w:t>tab</w:t>
            </w:r>
            <w:proofErr w:type="spellEnd"/>
          </w:p>
        </w:tc>
      </w:tr>
      <w:tr w:rsidR="00071D58" w:rsidRPr="00C225A9" w14:paraId="627CDD40" w14:textId="77777777" w:rsidTr="00A327C4">
        <w:tc>
          <w:tcPr>
            <w:tcW w:w="1984" w:type="dxa"/>
          </w:tcPr>
          <w:p w14:paraId="41F3786F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>6,6–10,0</w:t>
            </w:r>
          </w:p>
        </w:tc>
        <w:tc>
          <w:tcPr>
            <w:tcW w:w="2864" w:type="dxa"/>
          </w:tcPr>
          <w:p w14:paraId="346003C1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 xml:space="preserve">¾ </w:t>
            </w:r>
            <w:proofErr w:type="spellStart"/>
            <w:r w:rsidRPr="00C225A9">
              <w:rPr>
                <w:szCs w:val="22"/>
              </w:rPr>
              <w:t>tab</w:t>
            </w:r>
            <w:proofErr w:type="spellEnd"/>
          </w:p>
        </w:tc>
      </w:tr>
      <w:tr w:rsidR="00071D58" w:rsidRPr="00C225A9" w14:paraId="69896D40" w14:textId="77777777" w:rsidTr="00A327C4">
        <w:tc>
          <w:tcPr>
            <w:tcW w:w="1984" w:type="dxa"/>
          </w:tcPr>
          <w:p w14:paraId="6B40CDCB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>10,1 – 13,5</w:t>
            </w:r>
          </w:p>
        </w:tc>
        <w:tc>
          <w:tcPr>
            <w:tcW w:w="2864" w:type="dxa"/>
          </w:tcPr>
          <w:p w14:paraId="3023D404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 xml:space="preserve">1 </w:t>
            </w:r>
            <w:proofErr w:type="spellStart"/>
            <w:r w:rsidRPr="00C225A9">
              <w:rPr>
                <w:szCs w:val="22"/>
              </w:rPr>
              <w:t>tab</w:t>
            </w:r>
            <w:proofErr w:type="spellEnd"/>
          </w:p>
        </w:tc>
      </w:tr>
      <w:tr w:rsidR="00071D58" w:rsidRPr="00C225A9" w14:paraId="67EE2CE4" w14:textId="77777777" w:rsidTr="00A327C4">
        <w:tc>
          <w:tcPr>
            <w:tcW w:w="1984" w:type="dxa"/>
          </w:tcPr>
          <w:p w14:paraId="58311B3F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>13,6 – 17,0</w:t>
            </w:r>
          </w:p>
        </w:tc>
        <w:tc>
          <w:tcPr>
            <w:tcW w:w="2864" w:type="dxa"/>
          </w:tcPr>
          <w:p w14:paraId="6EEF2869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 xml:space="preserve">1 + ¼ </w:t>
            </w:r>
            <w:proofErr w:type="spellStart"/>
            <w:r w:rsidRPr="00C225A9">
              <w:rPr>
                <w:szCs w:val="22"/>
              </w:rPr>
              <w:t>tab</w:t>
            </w:r>
            <w:proofErr w:type="spellEnd"/>
          </w:p>
        </w:tc>
      </w:tr>
      <w:tr w:rsidR="00071D58" w:rsidRPr="00C225A9" w14:paraId="58D3DDA7" w14:textId="77777777" w:rsidTr="00A327C4">
        <w:tc>
          <w:tcPr>
            <w:tcW w:w="1984" w:type="dxa"/>
          </w:tcPr>
          <w:p w14:paraId="373D24A2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>17,1 – 20,5</w:t>
            </w:r>
          </w:p>
        </w:tc>
        <w:tc>
          <w:tcPr>
            <w:tcW w:w="2864" w:type="dxa"/>
          </w:tcPr>
          <w:p w14:paraId="3FB333B8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 xml:space="preserve">1+ ½ </w:t>
            </w:r>
            <w:proofErr w:type="spellStart"/>
            <w:r w:rsidRPr="00C225A9">
              <w:rPr>
                <w:szCs w:val="22"/>
              </w:rPr>
              <w:t>tab</w:t>
            </w:r>
            <w:proofErr w:type="spellEnd"/>
          </w:p>
        </w:tc>
      </w:tr>
      <w:tr w:rsidR="00071D58" w:rsidRPr="00C225A9" w14:paraId="6C4A9A67" w14:textId="77777777" w:rsidTr="00A327C4">
        <w:tc>
          <w:tcPr>
            <w:tcW w:w="1984" w:type="dxa"/>
          </w:tcPr>
          <w:p w14:paraId="52EB3844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>20,6 – 23,9</w:t>
            </w:r>
          </w:p>
        </w:tc>
        <w:tc>
          <w:tcPr>
            <w:tcW w:w="2864" w:type="dxa"/>
          </w:tcPr>
          <w:p w14:paraId="24DA786C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 xml:space="preserve">1 + ¾ </w:t>
            </w:r>
            <w:proofErr w:type="spellStart"/>
            <w:r w:rsidRPr="00C225A9">
              <w:rPr>
                <w:szCs w:val="22"/>
              </w:rPr>
              <w:t>tab</w:t>
            </w:r>
            <w:proofErr w:type="spellEnd"/>
          </w:p>
        </w:tc>
      </w:tr>
      <w:tr w:rsidR="00071D58" w:rsidRPr="00C225A9" w14:paraId="429D36CC" w14:textId="77777777" w:rsidTr="00A327C4">
        <w:tc>
          <w:tcPr>
            <w:tcW w:w="1984" w:type="dxa"/>
          </w:tcPr>
          <w:p w14:paraId="05125317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>24,0 – 27,0</w:t>
            </w:r>
          </w:p>
        </w:tc>
        <w:tc>
          <w:tcPr>
            <w:tcW w:w="2864" w:type="dxa"/>
          </w:tcPr>
          <w:p w14:paraId="2B0A3B99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 xml:space="preserve">2 </w:t>
            </w:r>
            <w:proofErr w:type="spellStart"/>
            <w:r w:rsidRPr="00C225A9">
              <w:rPr>
                <w:szCs w:val="22"/>
              </w:rPr>
              <w:t>tab</w:t>
            </w:r>
            <w:proofErr w:type="spellEnd"/>
          </w:p>
        </w:tc>
      </w:tr>
    </w:tbl>
    <w:p w14:paraId="244BFE43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2661521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• Pro dávkování 5,5 mg/kg</w:t>
      </w:r>
    </w:p>
    <w:p w14:paraId="71453CB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4"/>
        <w:gridCol w:w="2864"/>
      </w:tblGrid>
      <w:tr w:rsidR="00071D58" w:rsidRPr="00C225A9" w14:paraId="26E8D991" w14:textId="77777777" w:rsidTr="00A327C4">
        <w:tc>
          <w:tcPr>
            <w:tcW w:w="1984" w:type="dxa"/>
          </w:tcPr>
          <w:p w14:paraId="083765B8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b/>
                <w:bCs/>
                <w:szCs w:val="22"/>
              </w:rPr>
              <w:t>Hmotnost</w:t>
            </w:r>
            <w:r w:rsidRPr="00C225A9">
              <w:rPr>
                <w:szCs w:val="22"/>
              </w:rPr>
              <w:t xml:space="preserve"> (kg)</w:t>
            </w:r>
          </w:p>
        </w:tc>
        <w:tc>
          <w:tcPr>
            <w:tcW w:w="2864" w:type="dxa"/>
          </w:tcPr>
          <w:p w14:paraId="5045F585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b/>
                <w:bCs/>
                <w:szCs w:val="22"/>
              </w:rPr>
              <w:t>Počet podávaných tablet</w:t>
            </w:r>
          </w:p>
        </w:tc>
      </w:tr>
      <w:tr w:rsidR="00071D58" w:rsidRPr="00C225A9" w14:paraId="742105C9" w14:textId="77777777" w:rsidTr="00A327C4">
        <w:tc>
          <w:tcPr>
            <w:tcW w:w="1984" w:type="dxa"/>
          </w:tcPr>
          <w:p w14:paraId="4DEF58E1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>2,5- 4,4</w:t>
            </w:r>
          </w:p>
        </w:tc>
        <w:tc>
          <w:tcPr>
            <w:tcW w:w="2864" w:type="dxa"/>
          </w:tcPr>
          <w:p w14:paraId="72319B55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 xml:space="preserve">použijte </w:t>
            </w:r>
            <w:proofErr w:type="spellStart"/>
            <w:r w:rsidRPr="00C225A9">
              <w:rPr>
                <w:szCs w:val="22"/>
              </w:rPr>
              <w:t>Zodon</w:t>
            </w:r>
            <w:proofErr w:type="spellEnd"/>
            <w:r w:rsidRPr="00C225A9">
              <w:rPr>
                <w:szCs w:val="22"/>
              </w:rPr>
              <w:t xml:space="preserve"> 88 mg</w:t>
            </w:r>
          </w:p>
        </w:tc>
      </w:tr>
      <w:tr w:rsidR="00071D58" w:rsidRPr="00C225A9" w14:paraId="36D0D8BD" w14:textId="77777777" w:rsidTr="00A327C4">
        <w:tc>
          <w:tcPr>
            <w:tcW w:w="1984" w:type="dxa"/>
          </w:tcPr>
          <w:p w14:paraId="31E7DE3E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 xml:space="preserve">4,5 – 6,5 </w:t>
            </w:r>
          </w:p>
        </w:tc>
        <w:tc>
          <w:tcPr>
            <w:tcW w:w="2864" w:type="dxa"/>
          </w:tcPr>
          <w:p w14:paraId="2745AB7E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 xml:space="preserve">¼ </w:t>
            </w:r>
            <w:proofErr w:type="spellStart"/>
            <w:r w:rsidRPr="00C225A9">
              <w:rPr>
                <w:szCs w:val="22"/>
              </w:rPr>
              <w:t>tab</w:t>
            </w:r>
            <w:proofErr w:type="spellEnd"/>
          </w:p>
        </w:tc>
      </w:tr>
      <w:tr w:rsidR="00071D58" w:rsidRPr="00C225A9" w14:paraId="4BFF5399" w14:textId="77777777" w:rsidTr="00A327C4">
        <w:tc>
          <w:tcPr>
            <w:tcW w:w="1984" w:type="dxa"/>
          </w:tcPr>
          <w:p w14:paraId="0517ADF2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lastRenderedPageBreak/>
              <w:t>6,6– 13,5</w:t>
            </w:r>
          </w:p>
        </w:tc>
        <w:tc>
          <w:tcPr>
            <w:tcW w:w="2864" w:type="dxa"/>
          </w:tcPr>
          <w:p w14:paraId="7878C3E0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 xml:space="preserve">½ </w:t>
            </w:r>
            <w:proofErr w:type="spellStart"/>
            <w:r w:rsidRPr="00C225A9">
              <w:rPr>
                <w:szCs w:val="22"/>
              </w:rPr>
              <w:t>tab</w:t>
            </w:r>
            <w:proofErr w:type="spellEnd"/>
          </w:p>
        </w:tc>
      </w:tr>
      <w:tr w:rsidR="00071D58" w:rsidRPr="00C225A9" w14:paraId="50A8979B" w14:textId="77777777" w:rsidTr="00A327C4">
        <w:tc>
          <w:tcPr>
            <w:tcW w:w="1984" w:type="dxa"/>
          </w:tcPr>
          <w:p w14:paraId="1D36EBBA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>13,6 – 20,5</w:t>
            </w:r>
          </w:p>
        </w:tc>
        <w:tc>
          <w:tcPr>
            <w:tcW w:w="2864" w:type="dxa"/>
          </w:tcPr>
          <w:p w14:paraId="5EFDFB8F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 xml:space="preserve">¾ </w:t>
            </w:r>
            <w:proofErr w:type="spellStart"/>
            <w:r w:rsidRPr="00C225A9">
              <w:rPr>
                <w:szCs w:val="22"/>
              </w:rPr>
              <w:t>tab</w:t>
            </w:r>
            <w:proofErr w:type="spellEnd"/>
          </w:p>
        </w:tc>
      </w:tr>
      <w:tr w:rsidR="00071D58" w:rsidRPr="00C225A9" w14:paraId="0B549670" w14:textId="77777777" w:rsidTr="00A327C4">
        <w:tc>
          <w:tcPr>
            <w:tcW w:w="1984" w:type="dxa"/>
          </w:tcPr>
          <w:p w14:paraId="6ECCFC68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>20,6 – 27,0</w:t>
            </w:r>
          </w:p>
        </w:tc>
        <w:tc>
          <w:tcPr>
            <w:tcW w:w="2864" w:type="dxa"/>
          </w:tcPr>
          <w:p w14:paraId="48FC1F96" w14:textId="77777777" w:rsidR="00071D58" w:rsidRPr="00C225A9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25A9">
              <w:rPr>
                <w:szCs w:val="22"/>
              </w:rPr>
              <w:t xml:space="preserve">1 </w:t>
            </w:r>
            <w:proofErr w:type="spellStart"/>
            <w:r w:rsidRPr="00C225A9">
              <w:rPr>
                <w:szCs w:val="22"/>
              </w:rPr>
              <w:t>tab</w:t>
            </w:r>
            <w:proofErr w:type="spellEnd"/>
          </w:p>
        </w:tc>
      </w:tr>
    </w:tbl>
    <w:p w14:paraId="471BEB1A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51728ED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 xml:space="preserve">Pro zajištění správného dávkování </w:t>
      </w:r>
      <w:r w:rsidRPr="00C225A9">
        <w:t>je třeba co nejpřesněji stanovit živou hmotnost.</w:t>
      </w:r>
    </w:p>
    <w:p w14:paraId="3489D5D4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Tablety jsou ochucené. Mohou být podávány přímo do dutiny ústní zvířete nebo s malým množstvím</w:t>
      </w:r>
    </w:p>
    <w:p w14:paraId="26DCF5AB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potravy.</w:t>
      </w:r>
    </w:p>
    <w:p w14:paraId="05C957D3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Pokyny k dělení tablet: Položte tabletu na rovný povrch stranou s rýhou dolů k povrchu (konvexní</w:t>
      </w:r>
    </w:p>
    <w:p w14:paraId="183ADDB2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stranou nahoru). Lehkým vertikálním tlakem špičkou ukazováčku na střed tablety rozlomíte tabletu po</w:t>
      </w:r>
    </w:p>
    <w:p w14:paraId="2557B74E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šířce na dvě poloviny. Chcete-li tabletu rozdělit na čtvrtiny, lehkým tlakem ukazováčku na střed jedné</w:t>
      </w:r>
    </w:p>
    <w:p w14:paraId="311FE34F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poloviny ji rozlomíte na dvě části.</w:t>
      </w:r>
    </w:p>
    <w:p w14:paraId="2F601B7A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50ADFA1" w14:textId="77777777" w:rsidR="00071D58" w:rsidRPr="00C225A9" w:rsidRDefault="00071D58" w:rsidP="00071D58">
      <w:pPr>
        <w:pStyle w:val="Style1"/>
      </w:pPr>
      <w:r w:rsidRPr="00C225A9">
        <w:t>3.10</w:t>
      </w:r>
      <w:r w:rsidRPr="00C225A9">
        <w:tab/>
        <w:t xml:space="preserve">Příznaky předávkování (a kde je relevantní, první pomoc a </w:t>
      </w:r>
      <w:proofErr w:type="spellStart"/>
      <w:r w:rsidRPr="00C225A9">
        <w:t>antidota</w:t>
      </w:r>
      <w:proofErr w:type="spellEnd"/>
      <w:r w:rsidRPr="00C225A9">
        <w:t xml:space="preserve">) </w:t>
      </w:r>
    </w:p>
    <w:p w14:paraId="5D31E1D4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DB160A6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 xml:space="preserve">U psů, perorální dávky </w:t>
      </w:r>
      <w:proofErr w:type="spellStart"/>
      <w:r w:rsidRPr="00C225A9">
        <w:rPr>
          <w:szCs w:val="22"/>
        </w:rPr>
        <w:t>klindamycinu</w:t>
      </w:r>
      <w:proofErr w:type="spellEnd"/>
      <w:r w:rsidRPr="00C225A9">
        <w:rPr>
          <w:szCs w:val="22"/>
        </w:rPr>
        <w:t xml:space="preserve"> až do 300 mg/kg/den nevedly k toxicitě. U psů, kterým bylo</w:t>
      </w:r>
    </w:p>
    <w:p w14:paraId="78D5A9F3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 xml:space="preserve">podáváno 600 mg/kg/den </w:t>
      </w:r>
      <w:proofErr w:type="spellStart"/>
      <w:r w:rsidRPr="00C225A9">
        <w:rPr>
          <w:szCs w:val="22"/>
        </w:rPr>
        <w:t>klindamycinu</w:t>
      </w:r>
      <w:proofErr w:type="spellEnd"/>
      <w:r w:rsidRPr="00C225A9">
        <w:rPr>
          <w:szCs w:val="22"/>
        </w:rPr>
        <w:t xml:space="preserve"> se rozvinuly příznaky anorexie, zvracení a úbytky hmotnosti.</w:t>
      </w:r>
    </w:p>
    <w:p w14:paraId="37E5D3D4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V případě předávkování je nutné okamžitě ukončit léčbu a zahájit symptomatickou terapii.</w:t>
      </w:r>
    </w:p>
    <w:p w14:paraId="06FC2BEF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32E20FB" w14:textId="77777777" w:rsidR="00071D58" w:rsidRPr="00C225A9" w:rsidRDefault="00071D58" w:rsidP="00071D58">
      <w:pPr>
        <w:pStyle w:val="Style1"/>
      </w:pPr>
      <w:r w:rsidRPr="00C225A9">
        <w:t>3.11</w:t>
      </w:r>
      <w:r w:rsidRPr="00C225A9">
        <w:tab/>
        <w:t xml:space="preserve">Zvláštní omezení pro použití a zvláštní podmínky pro použití, včetně omezení používání antimikrobních a </w:t>
      </w:r>
      <w:proofErr w:type="spellStart"/>
      <w:r w:rsidRPr="00C225A9">
        <w:t>antiparazitárních</w:t>
      </w:r>
      <w:proofErr w:type="spellEnd"/>
      <w:r w:rsidRPr="00C225A9">
        <w:t xml:space="preserve"> veterinárních léčivých přípravků, za účelem snížení rizika rozvoje rezistence</w:t>
      </w:r>
    </w:p>
    <w:p w14:paraId="6BB3F6A7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20A4AB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t>Neuplatňuje se.</w:t>
      </w:r>
    </w:p>
    <w:p w14:paraId="0FE15DF9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3DEC6F0" w14:textId="77777777" w:rsidR="00071D58" w:rsidRPr="00C225A9" w:rsidRDefault="00071D58" w:rsidP="00071D58">
      <w:pPr>
        <w:pStyle w:val="Style1"/>
      </w:pPr>
      <w:r w:rsidRPr="00C225A9">
        <w:t>3.12</w:t>
      </w:r>
      <w:r w:rsidRPr="00C225A9">
        <w:tab/>
        <w:t>Ochranné lhůty</w:t>
      </w:r>
    </w:p>
    <w:p w14:paraId="2482C8D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85FD046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t>Neuplatňuje se.</w:t>
      </w:r>
    </w:p>
    <w:p w14:paraId="1EC5E40D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28CA794D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A9C49BF" w14:textId="77777777" w:rsidR="00071D58" w:rsidRPr="00C225A9" w:rsidRDefault="00071D58" w:rsidP="00071D58">
      <w:pPr>
        <w:pStyle w:val="Style1"/>
        <w:keepNext/>
      </w:pPr>
      <w:r w:rsidRPr="00C225A9">
        <w:t>4.</w:t>
      </w:r>
      <w:r w:rsidRPr="00C225A9">
        <w:tab/>
        <w:t>FARMAKOLOGICKÉ INFORMACE</w:t>
      </w:r>
    </w:p>
    <w:p w14:paraId="58C62F3A" w14:textId="77777777" w:rsidR="00071D58" w:rsidRPr="00C225A9" w:rsidRDefault="00071D58" w:rsidP="00071D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60EB43D" w14:textId="77777777" w:rsidR="00071D58" w:rsidRPr="00C225A9" w:rsidRDefault="00071D58" w:rsidP="00071D58">
      <w:pPr>
        <w:pStyle w:val="Style1"/>
        <w:keepNext/>
      </w:pPr>
      <w:r w:rsidRPr="00C225A9">
        <w:t>4.1</w:t>
      </w:r>
      <w:r w:rsidRPr="00C225A9">
        <w:tab/>
      </w:r>
      <w:proofErr w:type="spellStart"/>
      <w:r w:rsidRPr="00C225A9">
        <w:t>ATCvet</w:t>
      </w:r>
      <w:proofErr w:type="spellEnd"/>
      <w:r w:rsidRPr="00C225A9">
        <w:t xml:space="preserve"> kód: </w:t>
      </w:r>
      <w:r w:rsidRPr="00C225A9">
        <w:rPr>
          <w:b w:val="0"/>
        </w:rPr>
        <w:t>QJ01FF01</w:t>
      </w:r>
    </w:p>
    <w:p w14:paraId="3D255EC7" w14:textId="77777777" w:rsidR="00071D58" w:rsidRPr="00C225A9" w:rsidRDefault="00071D58" w:rsidP="00071D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DB1D13B" w14:textId="77777777" w:rsidR="00071D58" w:rsidRPr="00C225A9" w:rsidRDefault="00071D58" w:rsidP="00071D58">
      <w:pPr>
        <w:pStyle w:val="Style1"/>
        <w:keepNext/>
      </w:pPr>
      <w:r w:rsidRPr="00C225A9">
        <w:t>4.2</w:t>
      </w:r>
      <w:r w:rsidRPr="00C225A9">
        <w:tab/>
        <w:t>Farmakodynamika</w:t>
      </w:r>
    </w:p>
    <w:p w14:paraId="09B4B594" w14:textId="77777777" w:rsidR="00071D58" w:rsidRPr="00C225A9" w:rsidRDefault="00071D58" w:rsidP="00071D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4A6ACE1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225A9">
        <w:rPr>
          <w:szCs w:val="22"/>
          <w:u w:val="single"/>
        </w:rPr>
        <w:t>Mechanismus účinku</w:t>
      </w:r>
    </w:p>
    <w:p w14:paraId="394323D5" w14:textId="77777777" w:rsidR="00071D58" w:rsidRPr="00C225A9" w:rsidRDefault="00071D58" w:rsidP="00071D5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C225A9">
        <w:rPr>
          <w:szCs w:val="22"/>
        </w:rPr>
        <w:t>Klindamycin</w:t>
      </w:r>
      <w:proofErr w:type="spellEnd"/>
      <w:r w:rsidRPr="00C225A9">
        <w:rPr>
          <w:szCs w:val="22"/>
        </w:rPr>
        <w:t xml:space="preserve"> je </w:t>
      </w:r>
      <w:proofErr w:type="spellStart"/>
      <w:r w:rsidRPr="00C225A9">
        <w:rPr>
          <w:szCs w:val="22"/>
        </w:rPr>
        <w:t>semi</w:t>
      </w:r>
      <w:proofErr w:type="spellEnd"/>
      <w:r w:rsidRPr="00C225A9">
        <w:rPr>
          <w:szCs w:val="22"/>
        </w:rPr>
        <w:t>-syntetické antibiotikum vyráběné</w:t>
      </w:r>
      <w:r>
        <w:rPr>
          <w:szCs w:val="22"/>
        </w:rPr>
        <w:t xml:space="preserve"> </w:t>
      </w:r>
      <w:r w:rsidRPr="00C225A9">
        <w:rPr>
          <w:szCs w:val="22"/>
        </w:rPr>
        <w:t>7 (S)-chlor substitucí 7 (R)-</w:t>
      </w:r>
      <w:proofErr w:type="spellStart"/>
      <w:r w:rsidRPr="00C225A9">
        <w:rPr>
          <w:szCs w:val="22"/>
        </w:rPr>
        <w:t>hydroxy</w:t>
      </w:r>
      <w:proofErr w:type="spellEnd"/>
      <w:r w:rsidRPr="00C225A9">
        <w:rPr>
          <w:szCs w:val="22"/>
        </w:rPr>
        <w:t xml:space="preserve"> skupiny přírodních antibiotik produkovaných </w:t>
      </w:r>
      <w:proofErr w:type="spellStart"/>
      <w:r w:rsidRPr="0092730B">
        <w:rPr>
          <w:i/>
          <w:szCs w:val="22"/>
        </w:rPr>
        <w:t>Streptomyces</w:t>
      </w:r>
      <w:proofErr w:type="spellEnd"/>
      <w:r w:rsidRPr="0092730B">
        <w:rPr>
          <w:i/>
          <w:szCs w:val="22"/>
        </w:rPr>
        <w:t xml:space="preserve"> </w:t>
      </w:r>
      <w:proofErr w:type="spellStart"/>
      <w:r w:rsidRPr="0092730B">
        <w:rPr>
          <w:i/>
          <w:szCs w:val="22"/>
        </w:rPr>
        <w:t>lincolnensis</w:t>
      </w:r>
      <w:proofErr w:type="spellEnd"/>
      <w:r w:rsidRPr="0092730B">
        <w:rPr>
          <w:i/>
          <w:szCs w:val="22"/>
        </w:rPr>
        <w:t xml:space="preserve"> </w:t>
      </w:r>
      <w:r w:rsidRPr="00C225A9">
        <w:rPr>
          <w:szCs w:val="22"/>
        </w:rPr>
        <w:t xml:space="preserve">var. </w:t>
      </w:r>
      <w:proofErr w:type="spellStart"/>
      <w:r w:rsidRPr="0092730B">
        <w:rPr>
          <w:i/>
          <w:szCs w:val="22"/>
        </w:rPr>
        <w:t>lincolnensis</w:t>
      </w:r>
      <w:proofErr w:type="spellEnd"/>
      <w:r w:rsidRPr="00C225A9">
        <w:rPr>
          <w:szCs w:val="22"/>
        </w:rPr>
        <w:t>.</w:t>
      </w:r>
    </w:p>
    <w:p w14:paraId="5FC27207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19D539B" w14:textId="77777777" w:rsidR="00071D58" w:rsidRPr="00C225A9" w:rsidRDefault="00071D58" w:rsidP="00071D5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C225A9">
        <w:rPr>
          <w:szCs w:val="22"/>
        </w:rPr>
        <w:t>Klindamycin</w:t>
      </w:r>
      <w:proofErr w:type="spellEnd"/>
      <w:r w:rsidRPr="00C225A9">
        <w:rPr>
          <w:szCs w:val="22"/>
        </w:rPr>
        <w:t xml:space="preserve"> působí bakteriostatickým mechanismem účinku, při kterém narušuje syntézu bílkovin uvnitř bakteriální buňky, čímž inhibuje růst a množení bakterií. </w:t>
      </w:r>
      <w:proofErr w:type="spellStart"/>
      <w:r w:rsidRPr="00C225A9">
        <w:rPr>
          <w:szCs w:val="22"/>
        </w:rPr>
        <w:t>Klindamycin</w:t>
      </w:r>
      <w:proofErr w:type="spellEnd"/>
      <w:r w:rsidRPr="00C225A9">
        <w:rPr>
          <w:szCs w:val="22"/>
        </w:rPr>
        <w:t xml:space="preserve"> se váže na </w:t>
      </w:r>
      <w:proofErr w:type="gramStart"/>
      <w:r w:rsidRPr="00C225A9">
        <w:rPr>
          <w:szCs w:val="22"/>
        </w:rPr>
        <w:t>23S</w:t>
      </w:r>
      <w:proofErr w:type="gramEnd"/>
      <w:r w:rsidRPr="00C225A9">
        <w:rPr>
          <w:szCs w:val="22"/>
        </w:rPr>
        <w:t xml:space="preserve"> ribozomální RNA součást 50S podjednotky ribozomu. Tímto dochází k blokování vazby aminokyselin na ribozomy</w:t>
      </w:r>
      <w:r>
        <w:rPr>
          <w:szCs w:val="22"/>
        </w:rPr>
        <w:t xml:space="preserve">, v důsledku čehož je </w:t>
      </w:r>
      <w:r w:rsidRPr="00C225A9">
        <w:rPr>
          <w:szCs w:val="22"/>
        </w:rPr>
        <w:t>inhib</w:t>
      </w:r>
      <w:r>
        <w:rPr>
          <w:szCs w:val="22"/>
        </w:rPr>
        <w:t>ována</w:t>
      </w:r>
      <w:r w:rsidRPr="00C225A9">
        <w:rPr>
          <w:szCs w:val="22"/>
        </w:rPr>
        <w:t xml:space="preserve"> tvorb</w:t>
      </w:r>
      <w:r>
        <w:rPr>
          <w:szCs w:val="22"/>
        </w:rPr>
        <w:t>a</w:t>
      </w:r>
      <w:r w:rsidRPr="00C225A9">
        <w:rPr>
          <w:szCs w:val="22"/>
        </w:rPr>
        <w:t xml:space="preserve"> peptidových vazeb. Vazebná místa ribozomu jsou blízká </w:t>
      </w:r>
      <w:r>
        <w:rPr>
          <w:szCs w:val="22"/>
        </w:rPr>
        <w:t>těm</w:t>
      </w:r>
      <w:r w:rsidRPr="00C225A9">
        <w:rPr>
          <w:szCs w:val="22"/>
        </w:rPr>
        <w:t xml:space="preserve">, na která se vážou </w:t>
      </w:r>
      <w:proofErr w:type="spellStart"/>
      <w:r w:rsidRPr="00C225A9">
        <w:rPr>
          <w:szCs w:val="22"/>
        </w:rPr>
        <w:t>makrolidy</w:t>
      </w:r>
      <w:proofErr w:type="spellEnd"/>
      <w:r w:rsidRPr="00C225A9">
        <w:rPr>
          <w:szCs w:val="22"/>
        </w:rPr>
        <w:t xml:space="preserve">, </w:t>
      </w:r>
      <w:proofErr w:type="spellStart"/>
      <w:r w:rsidRPr="00C225A9">
        <w:rPr>
          <w:szCs w:val="22"/>
        </w:rPr>
        <w:t>streptograminy</w:t>
      </w:r>
      <w:proofErr w:type="spellEnd"/>
      <w:r w:rsidRPr="00C225A9">
        <w:rPr>
          <w:szCs w:val="22"/>
        </w:rPr>
        <w:t xml:space="preserve"> nebo chloramfenikol.</w:t>
      </w:r>
    </w:p>
    <w:p w14:paraId="4B9D2BB6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7A2CD1E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225A9">
        <w:rPr>
          <w:szCs w:val="22"/>
          <w:u w:val="single"/>
        </w:rPr>
        <w:t>Antibakteriální spektrum</w:t>
      </w:r>
    </w:p>
    <w:p w14:paraId="6BA3D63B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225A9">
        <w:rPr>
          <w:szCs w:val="22"/>
        </w:rPr>
        <w:t>Klindamycin</w:t>
      </w:r>
      <w:proofErr w:type="spellEnd"/>
      <w:r w:rsidRPr="00C225A9">
        <w:rPr>
          <w:szCs w:val="22"/>
        </w:rPr>
        <w:t xml:space="preserve"> je léčivá látka se středně širokým spektrem účinku.</w:t>
      </w:r>
    </w:p>
    <w:p w14:paraId="075E8994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0D094DB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Citlivé mikroorganizmy (C):</w:t>
      </w:r>
    </w:p>
    <w:p w14:paraId="6CEB8832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225A9">
        <w:rPr>
          <w:szCs w:val="22"/>
        </w:rPr>
        <w:t>Klindamycin</w:t>
      </w:r>
      <w:proofErr w:type="spellEnd"/>
      <w:r w:rsidRPr="00C225A9">
        <w:rPr>
          <w:szCs w:val="22"/>
        </w:rPr>
        <w:t xml:space="preserve"> je </w:t>
      </w:r>
      <w:r w:rsidRPr="00C225A9">
        <w:rPr>
          <w:i/>
          <w:iCs/>
          <w:szCs w:val="22"/>
        </w:rPr>
        <w:t>in vitro</w:t>
      </w:r>
      <w:r w:rsidRPr="00C225A9">
        <w:rPr>
          <w:szCs w:val="22"/>
        </w:rPr>
        <w:t xml:space="preserve"> účinný proti následujícím mikroorganizmům (viz následující MIC):</w:t>
      </w:r>
    </w:p>
    <w:p w14:paraId="22D4E2EC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 xml:space="preserve">• Aerobní </w:t>
      </w:r>
      <w:proofErr w:type="spellStart"/>
      <w:r w:rsidRPr="00C225A9">
        <w:rPr>
          <w:szCs w:val="22"/>
        </w:rPr>
        <w:t>grampozitivní</w:t>
      </w:r>
      <w:proofErr w:type="spellEnd"/>
      <w:r w:rsidRPr="00C225A9">
        <w:rPr>
          <w:szCs w:val="22"/>
        </w:rPr>
        <w:t xml:space="preserve"> koky včetně: </w:t>
      </w:r>
      <w:proofErr w:type="spellStart"/>
      <w:r w:rsidRPr="00C225A9">
        <w:rPr>
          <w:i/>
          <w:iCs/>
          <w:szCs w:val="22"/>
        </w:rPr>
        <w:t>Staphylococcus</w:t>
      </w:r>
      <w:proofErr w:type="spellEnd"/>
      <w:r w:rsidRPr="00C225A9">
        <w:rPr>
          <w:i/>
          <w:iCs/>
          <w:szCs w:val="22"/>
        </w:rPr>
        <w:t xml:space="preserve"> aureus </w:t>
      </w:r>
      <w:r w:rsidRPr="00C225A9">
        <w:rPr>
          <w:szCs w:val="22"/>
        </w:rPr>
        <w:t xml:space="preserve">a </w:t>
      </w:r>
      <w:proofErr w:type="spellStart"/>
      <w:r w:rsidRPr="00C225A9">
        <w:rPr>
          <w:i/>
          <w:iCs/>
          <w:szCs w:val="22"/>
        </w:rPr>
        <w:t>Staphylococcus</w:t>
      </w:r>
      <w:proofErr w:type="spellEnd"/>
      <w:r>
        <w:rPr>
          <w:i/>
          <w:iCs/>
          <w:szCs w:val="22"/>
        </w:rPr>
        <w:t xml:space="preserve"> </w:t>
      </w:r>
      <w:proofErr w:type="spellStart"/>
      <w:r w:rsidRPr="00C225A9">
        <w:rPr>
          <w:i/>
          <w:iCs/>
          <w:szCs w:val="22"/>
        </w:rPr>
        <w:t>pseudintermedius</w:t>
      </w:r>
      <w:proofErr w:type="spellEnd"/>
      <w:r w:rsidRPr="00C225A9">
        <w:rPr>
          <w:i/>
          <w:iCs/>
          <w:szCs w:val="22"/>
        </w:rPr>
        <w:t xml:space="preserve"> </w:t>
      </w:r>
      <w:r w:rsidRPr="00C225A9">
        <w:rPr>
          <w:szCs w:val="22"/>
        </w:rPr>
        <w:t>(</w:t>
      </w:r>
      <w:proofErr w:type="spellStart"/>
      <w:r w:rsidRPr="00C225A9">
        <w:rPr>
          <w:szCs w:val="22"/>
        </w:rPr>
        <w:t>penicilináza</w:t>
      </w:r>
      <w:proofErr w:type="spellEnd"/>
      <w:r w:rsidRPr="00C225A9">
        <w:rPr>
          <w:szCs w:val="22"/>
        </w:rPr>
        <w:t xml:space="preserve"> pozitivní i negativní kmeny), </w:t>
      </w:r>
      <w:proofErr w:type="spellStart"/>
      <w:r w:rsidRPr="00C225A9">
        <w:rPr>
          <w:i/>
          <w:iCs/>
          <w:szCs w:val="22"/>
        </w:rPr>
        <w:t>Streptococcus</w:t>
      </w:r>
      <w:proofErr w:type="spellEnd"/>
      <w:r w:rsidRPr="00C225A9">
        <w:rPr>
          <w:i/>
          <w:iCs/>
          <w:szCs w:val="22"/>
        </w:rPr>
        <w:t xml:space="preserve"> </w:t>
      </w:r>
      <w:proofErr w:type="spellStart"/>
      <w:r w:rsidRPr="00C225A9">
        <w:rPr>
          <w:szCs w:val="22"/>
        </w:rPr>
        <w:t>spp</w:t>
      </w:r>
      <w:proofErr w:type="spellEnd"/>
      <w:r w:rsidRPr="00C225A9">
        <w:rPr>
          <w:szCs w:val="22"/>
        </w:rPr>
        <w:t>. (s výjimkou</w:t>
      </w:r>
      <w:r>
        <w:rPr>
          <w:szCs w:val="22"/>
        </w:rPr>
        <w:t xml:space="preserve"> </w:t>
      </w:r>
      <w:proofErr w:type="spellStart"/>
      <w:r w:rsidRPr="00C225A9">
        <w:rPr>
          <w:i/>
          <w:iCs/>
          <w:szCs w:val="22"/>
        </w:rPr>
        <w:t>Enterococcus</w:t>
      </w:r>
      <w:proofErr w:type="spellEnd"/>
      <w:r w:rsidRPr="00C225A9">
        <w:rPr>
          <w:i/>
          <w:iCs/>
          <w:szCs w:val="22"/>
        </w:rPr>
        <w:t xml:space="preserve"> </w:t>
      </w:r>
      <w:proofErr w:type="spellStart"/>
      <w:r w:rsidRPr="00C225A9">
        <w:rPr>
          <w:i/>
          <w:iCs/>
          <w:szCs w:val="22"/>
        </w:rPr>
        <w:t>faecalis</w:t>
      </w:r>
      <w:proofErr w:type="spellEnd"/>
      <w:r w:rsidRPr="00C225A9">
        <w:rPr>
          <w:szCs w:val="22"/>
        </w:rPr>
        <w:t>).</w:t>
      </w:r>
    </w:p>
    <w:p w14:paraId="5C123BD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C225A9">
        <w:rPr>
          <w:szCs w:val="22"/>
        </w:rPr>
        <w:t xml:space="preserve">• Anaerobní gramnegativní tyčky včetně: </w:t>
      </w:r>
      <w:proofErr w:type="spellStart"/>
      <w:r w:rsidRPr="00C225A9">
        <w:rPr>
          <w:i/>
          <w:iCs/>
          <w:szCs w:val="22"/>
        </w:rPr>
        <w:t>Bacteroides</w:t>
      </w:r>
      <w:proofErr w:type="spellEnd"/>
      <w:r w:rsidRPr="00C225A9">
        <w:rPr>
          <w:i/>
          <w:iCs/>
          <w:szCs w:val="22"/>
        </w:rPr>
        <w:t xml:space="preserve"> </w:t>
      </w:r>
      <w:proofErr w:type="spellStart"/>
      <w:r w:rsidRPr="00C225A9">
        <w:rPr>
          <w:szCs w:val="22"/>
        </w:rPr>
        <w:t>spp</w:t>
      </w:r>
      <w:proofErr w:type="spellEnd"/>
      <w:r w:rsidRPr="00C225A9">
        <w:rPr>
          <w:szCs w:val="22"/>
        </w:rPr>
        <w:t xml:space="preserve">., </w:t>
      </w:r>
      <w:proofErr w:type="spellStart"/>
      <w:r w:rsidRPr="00C225A9">
        <w:rPr>
          <w:i/>
          <w:iCs/>
          <w:szCs w:val="22"/>
        </w:rPr>
        <w:t>Fusobacterium</w:t>
      </w:r>
      <w:proofErr w:type="spellEnd"/>
      <w:r w:rsidRPr="00C225A9">
        <w:rPr>
          <w:i/>
          <w:iCs/>
          <w:szCs w:val="22"/>
        </w:rPr>
        <w:t xml:space="preserve"> </w:t>
      </w:r>
      <w:proofErr w:type="spellStart"/>
      <w:r w:rsidRPr="00C225A9">
        <w:rPr>
          <w:i/>
          <w:iCs/>
          <w:szCs w:val="22"/>
        </w:rPr>
        <w:t>necrophorum</w:t>
      </w:r>
      <w:proofErr w:type="spellEnd"/>
      <w:r w:rsidRPr="00C225A9">
        <w:rPr>
          <w:i/>
          <w:iCs/>
          <w:szCs w:val="22"/>
        </w:rPr>
        <w:t>.</w:t>
      </w:r>
    </w:p>
    <w:p w14:paraId="428EAB94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 xml:space="preserve">• Klostridia: většina kmenů </w:t>
      </w:r>
      <w:r w:rsidRPr="00C225A9">
        <w:rPr>
          <w:i/>
          <w:iCs/>
          <w:szCs w:val="22"/>
        </w:rPr>
        <w:t xml:space="preserve">Clostridium </w:t>
      </w:r>
      <w:proofErr w:type="spellStart"/>
      <w:r w:rsidRPr="00C225A9">
        <w:rPr>
          <w:i/>
          <w:iCs/>
          <w:szCs w:val="22"/>
        </w:rPr>
        <w:t>perfringens</w:t>
      </w:r>
      <w:proofErr w:type="spellEnd"/>
      <w:r w:rsidRPr="00C225A9">
        <w:rPr>
          <w:i/>
          <w:iCs/>
          <w:szCs w:val="22"/>
        </w:rPr>
        <w:t xml:space="preserve"> </w:t>
      </w:r>
      <w:r w:rsidRPr="00C225A9">
        <w:rPr>
          <w:szCs w:val="22"/>
        </w:rPr>
        <w:t>je citlivá.</w:t>
      </w:r>
    </w:p>
    <w:p w14:paraId="76592BFF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55F9D0AB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225A9">
        <w:rPr>
          <w:szCs w:val="22"/>
          <w:u w:val="single"/>
        </w:rPr>
        <w:t>Údaje o MIC</w:t>
      </w:r>
    </w:p>
    <w:p w14:paraId="6BC713D9" w14:textId="77777777" w:rsidR="00071D58" w:rsidRPr="00C225A9" w:rsidRDefault="00071D58" w:rsidP="00071D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225A9">
        <w:rPr>
          <w:szCs w:val="22"/>
        </w:rPr>
        <w:lastRenderedPageBreak/>
        <w:t xml:space="preserve">Jsou dostupné veterinární hraniční hodnoty (CLSI) </w:t>
      </w:r>
      <w:proofErr w:type="spellStart"/>
      <w:r w:rsidRPr="00C225A9">
        <w:rPr>
          <w:szCs w:val="22"/>
        </w:rPr>
        <w:t>klindamycinu</w:t>
      </w:r>
      <w:proofErr w:type="spellEnd"/>
      <w:r w:rsidRPr="00C225A9">
        <w:rPr>
          <w:szCs w:val="22"/>
        </w:rPr>
        <w:t xml:space="preserve"> pro psy pro infekce kůže a infekce měkkých </w:t>
      </w:r>
      <w:proofErr w:type="gramStart"/>
      <w:r w:rsidRPr="00C225A9">
        <w:rPr>
          <w:szCs w:val="22"/>
        </w:rPr>
        <w:t xml:space="preserve">tkání </w:t>
      </w:r>
      <w:r>
        <w:rPr>
          <w:szCs w:val="22"/>
        </w:rPr>
        <w:t xml:space="preserve"> vyvolané</w:t>
      </w:r>
      <w:proofErr w:type="gramEnd"/>
      <w:r>
        <w:rPr>
          <w:szCs w:val="22"/>
        </w:rPr>
        <w:t xml:space="preserve"> </w:t>
      </w:r>
      <w:proofErr w:type="spellStart"/>
      <w:r w:rsidRPr="00C225A9">
        <w:rPr>
          <w:i/>
          <w:iCs/>
          <w:szCs w:val="22"/>
        </w:rPr>
        <w:t>Staphylococcus</w:t>
      </w:r>
      <w:proofErr w:type="spellEnd"/>
      <w:r w:rsidRPr="00C225A9">
        <w:rPr>
          <w:i/>
          <w:iCs/>
          <w:szCs w:val="22"/>
        </w:rPr>
        <w:t xml:space="preserve"> </w:t>
      </w:r>
      <w:proofErr w:type="spellStart"/>
      <w:r w:rsidRPr="00C225A9">
        <w:rPr>
          <w:szCs w:val="22"/>
        </w:rPr>
        <w:t>spp</w:t>
      </w:r>
      <w:proofErr w:type="spellEnd"/>
      <w:r w:rsidRPr="00C225A9">
        <w:rPr>
          <w:szCs w:val="22"/>
        </w:rPr>
        <w:t xml:space="preserve">. a beta-hemolytickými streptokoky: C ≤ 0,5 </w:t>
      </w:r>
      <w:proofErr w:type="spellStart"/>
      <w:r w:rsidRPr="00C225A9">
        <w:rPr>
          <w:szCs w:val="22"/>
        </w:rPr>
        <w:t>μg</w:t>
      </w:r>
      <w:proofErr w:type="spellEnd"/>
      <w:r w:rsidRPr="00C225A9">
        <w:rPr>
          <w:szCs w:val="22"/>
        </w:rPr>
        <w:t xml:space="preserve">/ml; I = 1-2 </w:t>
      </w:r>
      <w:proofErr w:type="spellStart"/>
      <w:r w:rsidRPr="00C225A9">
        <w:rPr>
          <w:szCs w:val="22"/>
        </w:rPr>
        <w:t>μg</w:t>
      </w:r>
      <w:proofErr w:type="spellEnd"/>
      <w:r w:rsidRPr="00C225A9">
        <w:rPr>
          <w:szCs w:val="22"/>
        </w:rPr>
        <w:t xml:space="preserve">/ml; R ≥ 4 </w:t>
      </w:r>
      <w:proofErr w:type="spellStart"/>
      <w:r w:rsidRPr="00C225A9">
        <w:rPr>
          <w:szCs w:val="22"/>
        </w:rPr>
        <w:t>μg</w:t>
      </w:r>
      <w:proofErr w:type="spellEnd"/>
      <w:r w:rsidRPr="00C225A9">
        <w:rPr>
          <w:szCs w:val="22"/>
        </w:rPr>
        <w:t>/ml. (CLSI, červenec 2013).</w:t>
      </w:r>
    </w:p>
    <w:p w14:paraId="4F5162F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04E96BE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225A9">
        <w:rPr>
          <w:szCs w:val="22"/>
          <w:u w:val="single"/>
        </w:rPr>
        <w:t>Typ a mechanismus rezistence</w:t>
      </w:r>
    </w:p>
    <w:p w14:paraId="61F9B7E9" w14:textId="77777777" w:rsidR="00071D58" w:rsidRPr="00C225A9" w:rsidRDefault="00071D58" w:rsidP="00071D5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C225A9">
        <w:rPr>
          <w:szCs w:val="22"/>
        </w:rPr>
        <w:t>Klindamycin</w:t>
      </w:r>
      <w:proofErr w:type="spellEnd"/>
      <w:r w:rsidRPr="00C225A9">
        <w:rPr>
          <w:szCs w:val="22"/>
        </w:rPr>
        <w:t xml:space="preserve"> patří do </w:t>
      </w:r>
      <w:proofErr w:type="spellStart"/>
      <w:r w:rsidRPr="00C225A9">
        <w:rPr>
          <w:szCs w:val="22"/>
        </w:rPr>
        <w:t>linkosamidové</w:t>
      </w:r>
      <w:proofErr w:type="spellEnd"/>
      <w:r w:rsidRPr="00C225A9">
        <w:rPr>
          <w:szCs w:val="22"/>
        </w:rPr>
        <w:t xml:space="preserve"> skupiny antibiotik. Rezistence se může vyvinout specificky vůči </w:t>
      </w:r>
      <w:proofErr w:type="spellStart"/>
      <w:r w:rsidRPr="00C225A9">
        <w:rPr>
          <w:szCs w:val="22"/>
        </w:rPr>
        <w:t>linkosamidům</w:t>
      </w:r>
      <w:proofErr w:type="spellEnd"/>
      <w:r w:rsidRPr="00C225A9">
        <w:rPr>
          <w:szCs w:val="22"/>
        </w:rPr>
        <w:t xml:space="preserve">, častěji však dochází ke zkřížené rezistenci mezi </w:t>
      </w:r>
      <w:proofErr w:type="spellStart"/>
      <w:r w:rsidRPr="00C225A9">
        <w:rPr>
          <w:szCs w:val="22"/>
        </w:rPr>
        <w:t>makrolidy</w:t>
      </w:r>
      <w:proofErr w:type="spellEnd"/>
      <w:r w:rsidRPr="00C225A9">
        <w:rPr>
          <w:szCs w:val="22"/>
        </w:rPr>
        <w:t xml:space="preserve">, </w:t>
      </w:r>
      <w:proofErr w:type="spellStart"/>
      <w:r w:rsidRPr="00C225A9">
        <w:rPr>
          <w:szCs w:val="22"/>
        </w:rPr>
        <w:t>linkosamidy</w:t>
      </w:r>
      <w:proofErr w:type="spellEnd"/>
      <w:r w:rsidRPr="00C225A9">
        <w:rPr>
          <w:szCs w:val="22"/>
        </w:rPr>
        <w:t xml:space="preserve"> a </w:t>
      </w:r>
      <w:proofErr w:type="spellStart"/>
      <w:r w:rsidRPr="00C225A9">
        <w:rPr>
          <w:szCs w:val="22"/>
        </w:rPr>
        <w:t>streptograminy</w:t>
      </w:r>
      <w:proofErr w:type="spellEnd"/>
      <w:r w:rsidRPr="00C225A9">
        <w:rPr>
          <w:szCs w:val="22"/>
        </w:rPr>
        <w:t xml:space="preserve"> B (skupina MLSB). Mechanismus rezistence spočívá v metylaci adeninových zbytků v molekule </w:t>
      </w:r>
      <w:proofErr w:type="gramStart"/>
      <w:r w:rsidRPr="00C225A9">
        <w:rPr>
          <w:szCs w:val="22"/>
        </w:rPr>
        <w:t>23S</w:t>
      </w:r>
      <w:proofErr w:type="gramEnd"/>
      <w:r w:rsidRPr="00C225A9">
        <w:rPr>
          <w:szCs w:val="22"/>
        </w:rPr>
        <w:t xml:space="preserve"> RNA 50S ribozomální podjednotky, což brání navázání antibiotika na cílové místo. Různé bakteriální druhy jsou schopny syntetizovat enzym, kódovaný řadou strukturálně příbuzných genů ribozomálních </w:t>
      </w:r>
      <w:proofErr w:type="spellStart"/>
      <w:r w:rsidRPr="00C225A9">
        <w:rPr>
          <w:szCs w:val="22"/>
        </w:rPr>
        <w:t>metyláz</w:t>
      </w:r>
      <w:proofErr w:type="spellEnd"/>
      <w:r w:rsidRPr="00C225A9">
        <w:rPr>
          <w:szCs w:val="22"/>
        </w:rPr>
        <w:t xml:space="preserve"> (</w:t>
      </w:r>
      <w:proofErr w:type="spellStart"/>
      <w:r w:rsidRPr="00C225A9">
        <w:rPr>
          <w:szCs w:val="22"/>
        </w:rPr>
        <w:t>erythromycin</w:t>
      </w:r>
      <w:proofErr w:type="spellEnd"/>
      <w:r w:rsidRPr="00C225A9">
        <w:rPr>
          <w:szCs w:val="22"/>
        </w:rPr>
        <w:t xml:space="preserve"> </w:t>
      </w:r>
      <w:proofErr w:type="spellStart"/>
      <w:r w:rsidRPr="00C225A9">
        <w:rPr>
          <w:szCs w:val="22"/>
        </w:rPr>
        <w:t>ribosomal</w:t>
      </w:r>
      <w:proofErr w:type="spellEnd"/>
      <w:r w:rsidRPr="00C225A9">
        <w:rPr>
          <w:szCs w:val="22"/>
        </w:rPr>
        <w:t xml:space="preserve"> </w:t>
      </w:r>
      <w:proofErr w:type="spellStart"/>
      <w:r w:rsidRPr="00C225A9">
        <w:rPr>
          <w:szCs w:val="22"/>
        </w:rPr>
        <w:t>methylase</w:t>
      </w:r>
      <w:proofErr w:type="spellEnd"/>
      <w:r w:rsidRPr="00C225A9">
        <w:rPr>
          <w:szCs w:val="22"/>
        </w:rPr>
        <w:t xml:space="preserve"> </w:t>
      </w:r>
      <w:proofErr w:type="spellStart"/>
      <w:r w:rsidRPr="00C225A9">
        <w:rPr>
          <w:szCs w:val="22"/>
        </w:rPr>
        <w:t>genes</w:t>
      </w:r>
      <w:proofErr w:type="spellEnd"/>
      <w:r w:rsidRPr="00C225A9">
        <w:rPr>
          <w:szCs w:val="22"/>
        </w:rPr>
        <w:t xml:space="preserve"> – </w:t>
      </w:r>
      <w:proofErr w:type="spellStart"/>
      <w:r w:rsidRPr="00C225A9">
        <w:rPr>
          <w:i/>
          <w:iCs/>
          <w:szCs w:val="22"/>
        </w:rPr>
        <w:t>erm</w:t>
      </w:r>
      <w:proofErr w:type="spellEnd"/>
      <w:r w:rsidRPr="00C225A9">
        <w:rPr>
          <w:szCs w:val="22"/>
        </w:rPr>
        <w:t xml:space="preserve">). V patogenních bakteriích jsou tyto determinanty většinou neseny </w:t>
      </w:r>
      <w:proofErr w:type="spellStart"/>
      <w:r w:rsidRPr="00C225A9">
        <w:rPr>
          <w:szCs w:val="22"/>
        </w:rPr>
        <w:t>plazmidy</w:t>
      </w:r>
      <w:proofErr w:type="spellEnd"/>
      <w:r w:rsidRPr="00C225A9">
        <w:rPr>
          <w:szCs w:val="22"/>
        </w:rPr>
        <w:t xml:space="preserve"> a </w:t>
      </w:r>
      <w:proofErr w:type="spellStart"/>
      <w:r w:rsidRPr="00C225A9">
        <w:rPr>
          <w:szCs w:val="22"/>
        </w:rPr>
        <w:t>transpozony</w:t>
      </w:r>
      <w:proofErr w:type="spellEnd"/>
      <w:r w:rsidRPr="00C225A9">
        <w:rPr>
          <w:szCs w:val="22"/>
        </w:rPr>
        <w:t xml:space="preserve">, které schopny </w:t>
      </w:r>
      <w:proofErr w:type="spellStart"/>
      <w:r w:rsidRPr="00C225A9">
        <w:rPr>
          <w:szCs w:val="22"/>
        </w:rPr>
        <w:t>samopřenosu</w:t>
      </w:r>
      <w:proofErr w:type="spellEnd"/>
      <w:r w:rsidRPr="00C225A9">
        <w:rPr>
          <w:szCs w:val="22"/>
        </w:rPr>
        <w:t xml:space="preserve"> (</w:t>
      </w:r>
      <w:proofErr w:type="spellStart"/>
      <w:r w:rsidRPr="00C225A9">
        <w:rPr>
          <w:szCs w:val="22"/>
        </w:rPr>
        <w:t>selftransferable</w:t>
      </w:r>
      <w:proofErr w:type="spellEnd"/>
      <w:r w:rsidRPr="00C225A9">
        <w:rPr>
          <w:szCs w:val="22"/>
        </w:rPr>
        <w:t xml:space="preserve">). Geny </w:t>
      </w:r>
      <w:proofErr w:type="spellStart"/>
      <w:r w:rsidRPr="00C225A9">
        <w:rPr>
          <w:i/>
          <w:iCs/>
          <w:szCs w:val="22"/>
        </w:rPr>
        <w:t>erm</w:t>
      </w:r>
      <w:proofErr w:type="spellEnd"/>
      <w:r w:rsidRPr="00C225A9">
        <w:rPr>
          <w:i/>
          <w:iCs/>
          <w:szCs w:val="22"/>
        </w:rPr>
        <w:t xml:space="preserve"> </w:t>
      </w:r>
      <w:r w:rsidRPr="00C225A9">
        <w:rPr>
          <w:szCs w:val="22"/>
        </w:rPr>
        <w:t xml:space="preserve">se u </w:t>
      </w:r>
      <w:proofErr w:type="spellStart"/>
      <w:r w:rsidRPr="00C225A9">
        <w:rPr>
          <w:i/>
          <w:iCs/>
          <w:szCs w:val="22"/>
        </w:rPr>
        <w:t>Staphylococcus</w:t>
      </w:r>
      <w:proofErr w:type="spellEnd"/>
      <w:r w:rsidRPr="00C225A9">
        <w:rPr>
          <w:i/>
          <w:iCs/>
          <w:szCs w:val="22"/>
        </w:rPr>
        <w:t xml:space="preserve"> aureus </w:t>
      </w:r>
      <w:r w:rsidRPr="00C225A9">
        <w:rPr>
          <w:szCs w:val="22"/>
        </w:rPr>
        <w:t xml:space="preserve">vyskytují převážně jako varianty </w:t>
      </w:r>
      <w:proofErr w:type="spellStart"/>
      <w:r w:rsidRPr="00C225A9">
        <w:rPr>
          <w:i/>
          <w:iCs/>
          <w:szCs w:val="22"/>
        </w:rPr>
        <w:t>erm</w:t>
      </w:r>
      <w:proofErr w:type="spellEnd"/>
      <w:r w:rsidRPr="00C225A9">
        <w:rPr>
          <w:i/>
          <w:iCs/>
          <w:szCs w:val="22"/>
        </w:rPr>
        <w:t xml:space="preserve"> </w:t>
      </w:r>
      <w:r w:rsidRPr="00C225A9">
        <w:rPr>
          <w:szCs w:val="22"/>
        </w:rPr>
        <w:t>(A) a </w:t>
      </w:r>
      <w:proofErr w:type="spellStart"/>
      <w:r w:rsidRPr="00C225A9">
        <w:rPr>
          <w:i/>
          <w:iCs/>
          <w:szCs w:val="22"/>
        </w:rPr>
        <w:t>erm</w:t>
      </w:r>
      <w:proofErr w:type="spellEnd"/>
      <w:r w:rsidRPr="00C225A9">
        <w:rPr>
          <w:i/>
          <w:iCs/>
          <w:szCs w:val="22"/>
        </w:rPr>
        <w:t xml:space="preserve"> </w:t>
      </w:r>
      <w:r w:rsidRPr="00C225A9">
        <w:rPr>
          <w:szCs w:val="22"/>
        </w:rPr>
        <w:t xml:space="preserve">(C) a u </w:t>
      </w:r>
      <w:proofErr w:type="spellStart"/>
      <w:r w:rsidRPr="00C225A9">
        <w:rPr>
          <w:i/>
          <w:iCs/>
          <w:szCs w:val="22"/>
        </w:rPr>
        <w:t>Staphylococcus</w:t>
      </w:r>
      <w:proofErr w:type="spellEnd"/>
      <w:r w:rsidRPr="00C225A9">
        <w:rPr>
          <w:i/>
          <w:iCs/>
          <w:szCs w:val="22"/>
        </w:rPr>
        <w:t xml:space="preserve"> </w:t>
      </w:r>
      <w:proofErr w:type="spellStart"/>
      <w:r w:rsidRPr="00C225A9">
        <w:rPr>
          <w:i/>
          <w:iCs/>
          <w:szCs w:val="22"/>
        </w:rPr>
        <w:t>pseudintermedius</w:t>
      </w:r>
      <w:proofErr w:type="spellEnd"/>
      <w:r w:rsidRPr="00C225A9">
        <w:rPr>
          <w:i/>
          <w:iCs/>
          <w:szCs w:val="22"/>
        </w:rPr>
        <w:t xml:space="preserve">, </w:t>
      </w:r>
      <w:r w:rsidRPr="00C225A9">
        <w:rPr>
          <w:szCs w:val="22"/>
        </w:rPr>
        <w:t xml:space="preserve">streptokoků a enterokoků jako varianta </w:t>
      </w:r>
      <w:proofErr w:type="spellStart"/>
      <w:r w:rsidRPr="00C225A9">
        <w:rPr>
          <w:i/>
          <w:iCs/>
          <w:szCs w:val="22"/>
        </w:rPr>
        <w:t>erm</w:t>
      </w:r>
      <w:proofErr w:type="spellEnd"/>
      <w:r w:rsidRPr="00C225A9">
        <w:rPr>
          <w:i/>
          <w:iCs/>
          <w:szCs w:val="22"/>
        </w:rPr>
        <w:t xml:space="preserve"> </w:t>
      </w:r>
      <w:r w:rsidRPr="00C225A9">
        <w:rPr>
          <w:szCs w:val="22"/>
        </w:rPr>
        <w:t xml:space="preserve">(B). U bakterií rezistentních na </w:t>
      </w:r>
      <w:proofErr w:type="spellStart"/>
      <w:r w:rsidRPr="00C225A9">
        <w:rPr>
          <w:szCs w:val="22"/>
        </w:rPr>
        <w:t>makrolidy</w:t>
      </w:r>
      <w:proofErr w:type="spellEnd"/>
      <w:r w:rsidRPr="00C225A9">
        <w:rPr>
          <w:szCs w:val="22"/>
        </w:rPr>
        <w:t xml:space="preserve">, které jsou zpočátku citlivé na </w:t>
      </w:r>
      <w:proofErr w:type="spellStart"/>
      <w:r w:rsidRPr="00C225A9">
        <w:rPr>
          <w:szCs w:val="22"/>
        </w:rPr>
        <w:t>klindamycin</w:t>
      </w:r>
      <w:proofErr w:type="spellEnd"/>
      <w:r w:rsidRPr="00C225A9">
        <w:rPr>
          <w:szCs w:val="22"/>
        </w:rPr>
        <w:t xml:space="preserve">, se po vystavení účinkům </w:t>
      </w:r>
      <w:proofErr w:type="spellStart"/>
      <w:r w:rsidRPr="00C225A9">
        <w:rPr>
          <w:szCs w:val="22"/>
        </w:rPr>
        <w:t>makrolidů</w:t>
      </w:r>
      <w:proofErr w:type="spellEnd"/>
      <w:r w:rsidRPr="00C225A9">
        <w:rPr>
          <w:szCs w:val="22"/>
        </w:rPr>
        <w:t xml:space="preserve"> rychle rozvíjí rezistence na </w:t>
      </w:r>
      <w:proofErr w:type="spellStart"/>
      <w:r w:rsidRPr="00C225A9">
        <w:rPr>
          <w:szCs w:val="22"/>
        </w:rPr>
        <w:t>klindamycin</w:t>
      </w:r>
      <w:proofErr w:type="spellEnd"/>
      <w:r w:rsidRPr="00C225A9">
        <w:rPr>
          <w:szCs w:val="22"/>
        </w:rPr>
        <w:t xml:space="preserve">. Tyto bakterie představují riziko selekce konstitutivních mutantů </w:t>
      </w:r>
      <w:r w:rsidRPr="00C225A9">
        <w:rPr>
          <w:i/>
          <w:iCs/>
          <w:szCs w:val="22"/>
        </w:rPr>
        <w:t xml:space="preserve">in </w:t>
      </w:r>
      <w:proofErr w:type="spellStart"/>
      <w:r w:rsidRPr="00C225A9">
        <w:rPr>
          <w:i/>
          <w:iCs/>
          <w:szCs w:val="22"/>
        </w:rPr>
        <w:t>vivo</w:t>
      </w:r>
      <w:proofErr w:type="spellEnd"/>
      <w:r w:rsidRPr="00C225A9">
        <w:rPr>
          <w:szCs w:val="22"/>
        </w:rPr>
        <w:t>.</w:t>
      </w:r>
    </w:p>
    <w:p w14:paraId="44114B06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6780430" w14:textId="77777777" w:rsidR="00071D58" w:rsidRPr="00C225A9" w:rsidRDefault="00071D58" w:rsidP="00071D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225A9">
        <w:rPr>
          <w:szCs w:val="22"/>
        </w:rPr>
        <w:t>MLS</w:t>
      </w:r>
      <w:r w:rsidRPr="00C225A9">
        <w:rPr>
          <w:szCs w:val="22"/>
          <w:vertAlign w:val="subscript"/>
        </w:rPr>
        <w:t>B</w:t>
      </w:r>
      <w:r w:rsidRPr="00C225A9">
        <w:rPr>
          <w:szCs w:val="22"/>
        </w:rPr>
        <w:t xml:space="preserve"> indukovaná rezistence se nedá zjistit pomocí standardních metod pro stanovování citlivosti </w:t>
      </w:r>
      <w:r w:rsidRPr="00C225A9">
        <w:rPr>
          <w:i/>
          <w:iCs/>
          <w:szCs w:val="22"/>
        </w:rPr>
        <w:t>in vitro</w:t>
      </w:r>
      <w:r w:rsidRPr="00C225A9">
        <w:rPr>
          <w:szCs w:val="22"/>
        </w:rPr>
        <w:t xml:space="preserve">. </w:t>
      </w:r>
      <w:r>
        <w:rPr>
          <w:szCs w:val="22"/>
        </w:rPr>
        <w:t>K</w:t>
      </w:r>
      <w:r w:rsidRPr="00C225A9">
        <w:rPr>
          <w:szCs w:val="22"/>
        </w:rPr>
        <w:t xml:space="preserve"> odhalení klinických izolátů s </w:t>
      </w:r>
      <w:proofErr w:type="spellStart"/>
      <w:r w:rsidRPr="00C225A9">
        <w:rPr>
          <w:szCs w:val="22"/>
        </w:rPr>
        <w:t>indukovatelným</w:t>
      </w:r>
      <w:proofErr w:type="spellEnd"/>
      <w:r w:rsidRPr="00C225A9">
        <w:rPr>
          <w:szCs w:val="22"/>
        </w:rPr>
        <w:t xml:space="preserve"> fenotypem rezistence</w:t>
      </w:r>
      <w:r>
        <w:rPr>
          <w:szCs w:val="22"/>
        </w:rPr>
        <w:t xml:space="preserve"> </w:t>
      </w:r>
      <w:r w:rsidRPr="00C225A9">
        <w:rPr>
          <w:szCs w:val="22"/>
        </w:rPr>
        <w:t xml:space="preserve">CLSI doporučuje </w:t>
      </w:r>
      <w:r w:rsidRPr="00044445">
        <w:rPr>
          <w:szCs w:val="22"/>
        </w:rPr>
        <w:t>veterinární</w:t>
      </w:r>
      <w:r>
        <w:rPr>
          <w:szCs w:val="22"/>
        </w:rPr>
        <w:t>m</w:t>
      </w:r>
      <w:r w:rsidRPr="00044445">
        <w:rPr>
          <w:szCs w:val="22"/>
        </w:rPr>
        <w:t xml:space="preserve"> diagnostický</w:t>
      </w:r>
      <w:r>
        <w:rPr>
          <w:szCs w:val="22"/>
        </w:rPr>
        <w:t>m</w:t>
      </w:r>
      <w:r w:rsidRPr="00044445">
        <w:rPr>
          <w:szCs w:val="22"/>
        </w:rPr>
        <w:t xml:space="preserve"> laboratoří</w:t>
      </w:r>
      <w:r>
        <w:rPr>
          <w:szCs w:val="22"/>
        </w:rPr>
        <w:t>m</w:t>
      </w:r>
      <w:r w:rsidRPr="00044445">
        <w:rPr>
          <w:szCs w:val="22"/>
        </w:rPr>
        <w:t xml:space="preserve"> </w:t>
      </w:r>
      <w:r w:rsidRPr="00C225A9">
        <w:rPr>
          <w:szCs w:val="22"/>
        </w:rPr>
        <w:t>rutinní provádění D-testu</w:t>
      </w:r>
      <w:r>
        <w:rPr>
          <w:szCs w:val="22"/>
        </w:rPr>
        <w:t>.</w:t>
      </w:r>
      <w:r w:rsidRPr="00C225A9">
        <w:rPr>
          <w:szCs w:val="22"/>
        </w:rPr>
        <w:t xml:space="preserve"> U takových pacientů by </w:t>
      </w:r>
      <w:proofErr w:type="spellStart"/>
      <w:r w:rsidRPr="00C225A9">
        <w:rPr>
          <w:szCs w:val="22"/>
        </w:rPr>
        <w:t>klindamycin</w:t>
      </w:r>
      <w:proofErr w:type="spellEnd"/>
      <w:r w:rsidRPr="00C225A9">
        <w:rPr>
          <w:szCs w:val="22"/>
        </w:rPr>
        <w:t xml:space="preserve"> neměl být používán.</w:t>
      </w:r>
    </w:p>
    <w:p w14:paraId="25458B91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8080341" w14:textId="77777777" w:rsidR="00071D58" w:rsidRPr="00C225A9" w:rsidRDefault="00071D58" w:rsidP="00071D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225A9">
        <w:rPr>
          <w:szCs w:val="22"/>
        </w:rPr>
        <w:t xml:space="preserve">Výskyt rezistence k </w:t>
      </w:r>
      <w:proofErr w:type="spellStart"/>
      <w:r w:rsidRPr="00C225A9">
        <w:rPr>
          <w:szCs w:val="22"/>
        </w:rPr>
        <w:t>linkosamidům</w:t>
      </w:r>
      <w:proofErr w:type="spellEnd"/>
      <w:r w:rsidRPr="00C225A9">
        <w:rPr>
          <w:szCs w:val="22"/>
        </w:rPr>
        <w:t xml:space="preserve"> u </w:t>
      </w:r>
      <w:proofErr w:type="spellStart"/>
      <w:r w:rsidRPr="00C225A9">
        <w:rPr>
          <w:i/>
          <w:iCs/>
          <w:szCs w:val="22"/>
        </w:rPr>
        <w:t>Staphylococcus</w:t>
      </w:r>
      <w:proofErr w:type="spellEnd"/>
      <w:r w:rsidRPr="00C225A9">
        <w:rPr>
          <w:i/>
          <w:iCs/>
          <w:szCs w:val="22"/>
        </w:rPr>
        <w:t xml:space="preserve"> </w:t>
      </w:r>
      <w:proofErr w:type="spellStart"/>
      <w:r w:rsidRPr="00C225A9">
        <w:rPr>
          <w:szCs w:val="22"/>
        </w:rPr>
        <w:t>spp</w:t>
      </w:r>
      <w:proofErr w:type="spellEnd"/>
      <w:r w:rsidRPr="00C225A9">
        <w:rPr>
          <w:szCs w:val="22"/>
        </w:rPr>
        <w:t xml:space="preserve">. je v Evropě široce rozšířen. Nedávné studie (2010) ukazují výskyt mezi 25 až </w:t>
      </w:r>
      <w:proofErr w:type="gramStart"/>
      <w:r w:rsidRPr="00C225A9">
        <w:rPr>
          <w:szCs w:val="22"/>
        </w:rPr>
        <w:t>40%</w:t>
      </w:r>
      <w:proofErr w:type="gramEnd"/>
      <w:r w:rsidRPr="00C225A9">
        <w:rPr>
          <w:szCs w:val="22"/>
        </w:rPr>
        <w:t>.</w:t>
      </w:r>
    </w:p>
    <w:p w14:paraId="6671BCB0" w14:textId="77777777" w:rsidR="00071D58" w:rsidRPr="00C225A9" w:rsidRDefault="00071D58" w:rsidP="00071D58">
      <w:pPr>
        <w:pStyle w:val="Style1"/>
      </w:pPr>
    </w:p>
    <w:p w14:paraId="34609151" w14:textId="77777777" w:rsidR="00071D58" w:rsidRPr="00C225A9" w:rsidRDefault="00071D58" w:rsidP="00071D58">
      <w:pPr>
        <w:pStyle w:val="Style1"/>
      </w:pPr>
      <w:r w:rsidRPr="00C225A9">
        <w:t>4.3</w:t>
      </w:r>
      <w:r w:rsidRPr="00C225A9">
        <w:tab/>
        <w:t>Farmakokinetika</w:t>
      </w:r>
    </w:p>
    <w:p w14:paraId="77B3A10C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136344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225A9">
        <w:rPr>
          <w:szCs w:val="22"/>
          <w:u w:val="single"/>
        </w:rPr>
        <w:t>Absorpce:</w:t>
      </w:r>
    </w:p>
    <w:p w14:paraId="57808FC9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 xml:space="preserve">Po perorálním podání je </w:t>
      </w:r>
      <w:proofErr w:type="spellStart"/>
      <w:r w:rsidRPr="00C225A9">
        <w:rPr>
          <w:szCs w:val="22"/>
        </w:rPr>
        <w:t>klindamycinu</w:t>
      </w:r>
      <w:proofErr w:type="spellEnd"/>
      <w:r w:rsidRPr="00C225A9">
        <w:rPr>
          <w:szCs w:val="22"/>
        </w:rPr>
        <w:t xml:space="preserve"> </w:t>
      </w:r>
      <w:proofErr w:type="spellStart"/>
      <w:r w:rsidRPr="00C225A9">
        <w:rPr>
          <w:szCs w:val="22"/>
        </w:rPr>
        <w:t>hydrochlorid</w:t>
      </w:r>
      <w:proofErr w:type="spellEnd"/>
      <w:r w:rsidRPr="00C225A9">
        <w:rPr>
          <w:szCs w:val="22"/>
        </w:rPr>
        <w:t xml:space="preserve"> u psů rychle absorbován z gastrointestinálního traktu.</w:t>
      </w:r>
    </w:p>
    <w:p w14:paraId="7A1905DB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D029BB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225A9">
        <w:rPr>
          <w:szCs w:val="22"/>
          <w:u w:val="single"/>
        </w:rPr>
        <w:t>Sérové hodnoty:</w:t>
      </w:r>
    </w:p>
    <w:p w14:paraId="581CB0BE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 xml:space="preserve">Po perorálním podání 13,1 mg/kg ž.hm. je maximální plazmatické koncentrace 6,4 </w:t>
      </w:r>
      <w:proofErr w:type="spellStart"/>
      <w:r w:rsidRPr="00C225A9">
        <w:rPr>
          <w:szCs w:val="22"/>
        </w:rPr>
        <w:t>μg</w:t>
      </w:r>
      <w:proofErr w:type="spellEnd"/>
      <w:r w:rsidRPr="00C225A9">
        <w:rPr>
          <w:szCs w:val="22"/>
        </w:rPr>
        <w:t>/ml (průměrná</w:t>
      </w:r>
    </w:p>
    <w:p w14:paraId="5FB54D20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proofErr w:type="gramStart"/>
      <w:r w:rsidRPr="00C225A9">
        <w:rPr>
          <w:szCs w:val="22"/>
        </w:rPr>
        <w:t>Cmax</w:t>
      </w:r>
      <w:proofErr w:type="spellEnd"/>
      <w:r w:rsidRPr="00C225A9">
        <w:rPr>
          <w:szCs w:val="22"/>
        </w:rPr>
        <w:t xml:space="preserve"> )</w:t>
      </w:r>
      <w:proofErr w:type="gramEnd"/>
      <w:r w:rsidRPr="00C225A9">
        <w:rPr>
          <w:szCs w:val="22"/>
        </w:rPr>
        <w:t xml:space="preserve"> dosaženo za 50 minut (průměrný </w:t>
      </w:r>
      <w:proofErr w:type="spellStart"/>
      <w:r w:rsidRPr="00C225A9">
        <w:rPr>
          <w:szCs w:val="22"/>
        </w:rPr>
        <w:t>Tmax</w:t>
      </w:r>
      <w:proofErr w:type="spellEnd"/>
      <w:r w:rsidRPr="00C225A9">
        <w:rPr>
          <w:szCs w:val="22"/>
        </w:rPr>
        <w:t xml:space="preserve">). Biologický eliminační poločas </w:t>
      </w:r>
      <w:proofErr w:type="spellStart"/>
      <w:r w:rsidRPr="00C225A9">
        <w:rPr>
          <w:szCs w:val="22"/>
        </w:rPr>
        <w:t>klindamycinu</w:t>
      </w:r>
      <w:proofErr w:type="spellEnd"/>
      <w:r w:rsidRPr="00C225A9">
        <w:rPr>
          <w:szCs w:val="22"/>
        </w:rPr>
        <w:t xml:space="preserve"> u psů je přibližně 5 hodin. U psů nebyla po několika opakovaných perorálních podáních pozorována žádná</w:t>
      </w:r>
    </w:p>
    <w:p w14:paraId="495CB83D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akumulace biologické aktivity.</w:t>
      </w:r>
    </w:p>
    <w:p w14:paraId="0514E06B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CF21DB3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225A9">
        <w:rPr>
          <w:szCs w:val="22"/>
          <w:u w:val="single"/>
        </w:rPr>
        <w:t>Metabolismus a vylučování:</w:t>
      </w:r>
    </w:p>
    <w:p w14:paraId="3F6A11AD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 xml:space="preserve">Rozsáhlý výzkum metabolismu a vylučování </w:t>
      </w:r>
      <w:proofErr w:type="spellStart"/>
      <w:r w:rsidRPr="00C225A9">
        <w:rPr>
          <w:szCs w:val="22"/>
        </w:rPr>
        <w:t>klindamycinu</w:t>
      </w:r>
      <w:proofErr w:type="spellEnd"/>
      <w:r w:rsidRPr="00C225A9">
        <w:rPr>
          <w:szCs w:val="22"/>
        </w:rPr>
        <w:t xml:space="preserve"> prokázal, že i výchozí látka i biologicky aktivní a inaktivní metabolity jsou vylučovány močí a trusem.</w:t>
      </w:r>
    </w:p>
    <w:p w14:paraId="6334F5C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1C5F4FE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Téměř veškerá biologická aktivita v séru po perorálním podání je způsobena výchozí molekulou</w:t>
      </w:r>
    </w:p>
    <w:p w14:paraId="22546701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(</w:t>
      </w:r>
      <w:proofErr w:type="spellStart"/>
      <w:r w:rsidRPr="00C225A9">
        <w:rPr>
          <w:szCs w:val="22"/>
        </w:rPr>
        <w:t>klindamycin</w:t>
      </w:r>
      <w:proofErr w:type="spellEnd"/>
      <w:r w:rsidRPr="00C225A9">
        <w:rPr>
          <w:szCs w:val="22"/>
        </w:rPr>
        <w:t>).</w:t>
      </w:r>
    </w:p>
    <w:p w14:paraId="1B0043B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432B6B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898989E" w14:textId="77777777" w:rsidR="00071D58" w:rsidRPr="00C225A9" w:rsidRDefault="00071D58" w:rsidP="00071D58">
      <w:pPr>
        <w:pStyle w:val="Style1"/>
      </w:pPr>
      <w:r w:rsidRPr="00C225A9">
        <w:t>5.</w:t>
      </w:r>
      <w:r w:rsidRPr="00C225A9">
        <w:tab/>
        <w:t>FARMACEUTICKÉ ÚDAJE</w:t>
      </w:r>
    </w:p>
    <w:p w14:paraId="7123D544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6B972D0" w14:textId="77777777" w:rsidR="00071D58" w:rsidRPr="00C225A9" w:rsidRDefault="00071D58" w:rsidP="00071D58">
      <w:pPr>
        <w:pStyle w:val="Style1"/>
      </w:pPr>
      <w:r w:rsidRPr="00C225A9">
        <w:t>5.1</w:t>
      </w:r>
      <w:r w:rsidRPr="00C225A9">
        <w:tab/>
        <w:t>Hlavní inkompatibility</w:t>
      </w:r>
    </w:p>
    <w:p w14:paraId="137658A0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E32BB68" w14:textId="77777777" w:rsidR="00071D58" w:rsidRPr="00C225A9" w:rsidRDefault="00071D58" w:rsidP="00071D58">
      <w:pPr>
        <w:tabs>
          <w:tab w:val="clear" w:pos="567"/>
        </w:tabs>
        <w:spacing w:line="240" w:lineRule="auto"/>
      </w:pPr>
      <w:r w:rsidRPr="00C225A9">
        <w:t>Neuplatňuje se.</w:t>
      </w:r>
    </w:p>
    <w:p w14:paraId="3B4C50FC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9CBA2F8" w14:textId="77777777" w:rsidR="00071D58" w:rsidRPr="00C225A9" w:rsidRDefault="00071D58" w:rsidP="00071D58">
      <w:pPr>
        <w:pStyle w:val="Style1"/>
      </w:pPr>
      <w:r w:rsidRPr="00C225A9">
        <w:t>5.2</w:t>
      </w:r>
      <w:r w:rsidRPr="00C225A9">
        <w:tab/>
        <w:t>Doba použitelnosti</w:t>
      </w:r>
    </w:p>
    <w:p w14:paraId="1437F29E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16347E1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Doba použitelnosti veterinárního léčivého přípravku v neporušeném obalu: 3 roky.</w:t>
      </w:r>
    </w:p>
    <w:p w14:paraId="18C94A39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Doba použitelnosti zbylých nepoužitých částí tablet po prvním otevření vnitřního obalu: 72 hodin (nebo 3 dny).</w:t>
      </w:r>
    </w:p>
    <w:p w14:paraId="7D312B1E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25029DD" w14:textId="77777777" w:rsidR="00071D58" w:rsidRPr="00C225A9" w:rsidRDefault="00071D58" w:rsidP="00071D58">
      <w:pPr>
        <w:pStyle w:val="Style1"/>
      </w:pPr>
      <w:r w:rsidRPr="00C225A9">
        <w:t>5.3</w:t>
      </w:r>
      <w:r w:rsidRPr="00C225A9">
        <w:tab/>
        <w:t>Zvláštní opatření pro uchovávání</w:t>
      </w:r>
    </w:p>
    <w:p w14:paraId="3862E8D0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58A521F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Uchovávejte při teplotě do 30 °C.</w:t>
      </w:r>
    </w:p>
    <w:p w14:paraId="667D51F1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Zbylé nepoužité části tablet uchovávejte v blistru.</w:t>
      </w:r>
    </w:p>
    <w:p w14:paraId="70BD6CDB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Uchovávejte blistr v krabičce.</w:t>
      </w:r>
    </w:p>
    <w:p w14:paraId="2E05F363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556F11C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36C9856" w14:textId="77777777" w:rsidR="00071D58" w:rsidRPr="00C225A9" w:rsidRDefault="00071D58" w:rsidP="00071D58">
      <w:pPr>
        <w:pStyle w:val="Style1"/>
      </w:pPr>
      <w:r w:rsidRPr="00C225A9">
        <w:t>5.4</w:t>
      </w:r>
      <w:r w:rsidRPr="00C225A9">
        <w:tab/>
        <w:t>Druh a složení vnitřního obalu</w:t>
      </w:r>
    </w:p>
    <w:p w14:paraId="581CFAED" w14:textId="77777777" w:rsidR="00071D58" w:rsidRPr="00C225A9" w:rsidRDefault="00071D58" w:rsidP="00071D58">
      <w:pPr>
        <w:pStyle w:val="Style1"/>
      </w:pPr>
    </w:p>
    <w:p w14:paraId="6AD32E36" w14:textId="77777777" w:rsidR="00071D58" w:rsidRPr="00C225A9" w:rsidRDefault="00071D58" w:rsidP="00071D58">
      <w:pPr>
        <w:pStyle w:val="Style1"/>
        <w:rPr>
          <w:b w:val="0"/>
        </w:rPr>
      </w:pPr>
      <w:r w:rsidRPr="00C225A9">
        <w:rPr>
          <w:b w:val="0"/>
        </w:rPr>
        <w:t>Blistry: (PVC-TE-PVDC uzavřené tepelně zatavenou hliníkovou fólií) obsahují 8 tablet v jednom</w:t>
      </w:r>
    </w:p>
    <w:p w14:paraId="42A0BED6" w14:textId="77777777" w:rsidR="00071D58" w:rsidRPr="00C225A9" w:rsidRDefault="00071D58" w:rsidP="00071D58">
      <w:pPr>
        <w:pStyle w:val="Style1"/>
        <w:rPr>
          <w:b w:val="0"/>
        </w:rPr>
      </w:pPr>
      <w:r w:rsidRPr="00C225A9">
        <w:rPr>
          <w:b w:val="0"/>
        </w:rPr>
        <w:t>blistru.</w:t>
      </w:r>
    </w:p>
    <w:p w14:paraId="2BC5DCE7" w14:textId="77777777" w:rsidR="00071D58" w:rsidRPr="00C225A9" w:rsidRDefault="00071D58" w:rsidP="00071D58">
      <w:pPr>
        <w:pStyle w:val="Style1"/>
        <w:rPr>
          <w:b w:val="0"/>
        </w:rPr>
      </w:pPr>
      <w:r w:rsidRPr="00C225A9">
        <w:rPr>
          <w:b w:val="0"/>
        </w:rPr>
        <w:t>Papírová krabička s 8 tabletami obsahuje 1 blistr s 8 tabletami.</w:t>
      </w:r>
    </w:p>
    <w:p w14:paraId="60B8567E" w14:textId="77777777" w:rsidR="00071D58" w:rsidRPr="00C225A9" w:rsidRDefault="00071D58" w:rsidP="00071D58">
      <w:pPr>
        <w:pStyle w:val="Style1"/>
        <w:rPr>
          <w:b w:val="0"/>
        </w:rPr>
      </w:pPr>
      <w:r w:rsidRPr="00C225A9">
        <w:rPr>
          <w:b w:val="0"/>
        </w:rPr>
        <w:t>Papírová krabička s 16 tabletami obsahuje 2 blistry po 8 tabletách.</w:t>
      </w:r>
    </w:p>
    <w:p w14:paraId="1ADB120B" w14:textId="77777777" w:rsidR="00071D58" w:rsidRPr="00C225A9" w:rsidRDefault="00071D58" w:rsidP="00071D58">
      <w:pPr>
        <w:pStyle w:val="Style1"/>
        <w:rPr>
          <w:b w:val="0"/>
        </w:rPr>
      </w:pPr>
      <w:r w:rsidRPr="00C225A9">
        <w:rPr>
          <w:b w:val="0"/>
        </w:rPr>
        <w:t>Papírová krabička s 96 tabletami obsahuje 12 blistrů po 8 tabletách.</w:t>
      </w:r>
    </w:p>
    <w:p w14:paraId="614FE38C" w14:textId="77777777" w:rsidR="00071D58" w:rsidRPr="00C225A9" w:rsidRDefault="00071D58" w:rsidP="00071D58">
      <w:pPr>
        <w:pStyle w:val="Style1"/>
        <w:rPr>
          <w:b w:val="0"/>
        </w:rPr>
      </w:pPr>
      <w:r w:rsidRPr="00C225A9">
        <w:rPr>
          <w:b w:val="0"/>
        </w:rPr>
        <w:t>Papírová krabička s 240 tabletami obsahuje 30 blistrů po 8 tabletách</w:t>
      </w:r>
    </w:p>
    <w:p w14:paraId="50D94A80" w14:textId="77777777" w:rsidR="00071D58" w:rsidRPr="00C225A9" w:rsidRDefault="00071D58" w:rsidP="00071D58">
      <w:pPr>
        <w:pStyle w:val="Style1"/>
        <w:rPr>
          <w:b w:val="0"/>
          <w:bCs/>
        </w:rPr>
      </w:pPr>
    </w:p>
    <w:p w14:paraId="3B0BE5C5" w14:textId="77777777" w:rsidR="00071D58" w:rsidRPr="00C225A9" w:rsidRDefault="00071D58" w:rsidP="00071D58">
      <w:pPr>
        <w:pStyle w:val="Style1"/>
        <w:rPr>
          <w:b w:val="0"/>
          <w:bCs/>
        </w:rPr>
      </w:pPr>
      <w:r w:rsidRPr="00C225A9">
        <w:rPr>
          <w:b w:val="0"/>
          <w:bCs/>
        </w:rPr>
        <w:t>Na trhu nemusí být všechny velikosti balení.</w:t>
      </w:r>
    </w:p>
    <w:p w14:paraId="527A852A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t xml:space="preserve"> </w:t>
      </w:r>
    </w:p>
    <w:p w14:paraId="41538ADA" w14:textId="77777777" w:rsidR="00071D58" w:rsidRPr="00C225A9" w:rsidRDefault="00071D58" w:rsidP="00071D58">
      <w:pPr>
        <w:pStyle w:val="Style1"/>
        <w:keepNext/>
      </w:pPr>
      <w:r w:rsidRPr="00C225A9">
        <w:t>5.5</w:t>
      </w:r>
      <w:r w:rsidRPr="00C225A9">
        <w:tab/>
        <w:t>Zvláštní opatření pro likvidaci nepoužitých veterinárních léčivých přípravků nebo odpadů, které pochází z těchto přípravků</w:t>
      </w:r>
    </w:p>
    <w:p w14:paraId="3D02AAEE" w14:textId="77777777" w:rsidR="00071D58" w:rsidRPr="00C225A9" w:rsidRDefault="00071D58" w:rsidP="00071D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A644F38" w14:textId="77777777" w:rsidR="00071D58" w:rsidRPr="00C225A9" w:rsidRDefault="00071D58" w:rsidP="00071D58">
      <w:pPr>
        <w:rPr>
          <w:szCs w:val="22"/>
        </w:rPr>
      </w:pPr>
      <w:r w:rsidRPr="00C225A9">
        <w:t>Léčivé přípravky se nesmí likvidovat prostřednictvím odpadní vody či domovního odpadu.</w:t>
      </w:r>
    </w:p>
    <w:p w14:paraId="653FDA41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DA4D151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16FF0B3C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15ECB79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CB0B028" w14:textId="77777777" w:rsidR="00071D58" w:rsidRPr="00C225A9" w:rsidRDefault="00071D58" w:rsidP="00071D58">
      <w:pPr>
        <w:pStyle w:val="Style1"/>
      </w:pPr>
      <w:r w:rsidRPr="00C225A9">
        <w:t>6.</w:t>
      </w:r>
      <w:r w:rsidRPr="00C225A9">
        <w:tab/>
        <w:t>JMÉNO DRŽITELE ROZHODNUTÍ O REGISTRACI</w:t>
      </w:r>
    </w:p>
    <w:p w14:paraId="6162C825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25A51693" w14:textId="77777777" w:rsidR="00071D58" w:rsidRPr="00C225A9" w:rsidRDefault="00071D58" w:rsidP="00071D58">
      <w:pPr>
        <w:tabs>
          <w:tab w:val="clear" w:pos="567"/>
        </w:tabs>
        <w:spacing w:line="240" w:lineRule="auto"/>
      </w:pPr>
      <w:proofErr w:type="spellStart"/>
      <w:r w:rsidRPr="00C225A9">
        <w:t>Ceva</w:t>
      </w:r>
      <w:proofErr w:type="spellEnd"/>
      <w:r w:rsidRPr="00C225A9">
        <w:t xml:space="preserve"> </w:t>
      </w:r>
      <w:proofErr w:type="spellStart"/>
      <w:r w:rsidRPr="00C225A9">
        <w:t>Santé</w:t>
      </w:r>
      <w:proofErr w:type="spellEnd"/>
      <w:r w:rsidRPr="00C225A9">
        <w:t xml:space="preserve"> Animale</w:t>
      </w:r>
    </w:p>
    <w:p w14:paraId="495FC4CB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A0D6CD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0159726" w14:textId="77777777" w:rsidR="00071D58" w:rsidRPr="00C225A9" w:rsidRDefault="00071D58" w:rsidP="00071D58">
      <w:pPr>
        <w:pStyle w:val="Style1"/>
      </w:pPr>
      <w:r w:rsidRPr="00C225A9">
        <w:t>7.</w:t>
      </w:r>
      <w:r w:rsidRPr="00C225A9">
        <w:tab/>
        <w:t>REGISTRAČNÍ ČÍSLO(A)</w:t>
      </w:r>
    </w:p>
    <w:p w14:paraId="0754703D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D628922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rPr>
          <w:szCs w:val="22"/>
        </w:rPr>
        <w:t>96/067/</w:t>
      </w:r>
      <w:proofErr w:type="gramStart"/>
      <w:r w:rsidRPr="00C225A9">
        <w:rPr>
          <w:szCs w:val="22"/>
        </w:rPr>
        <w:t>14-C</w:t>
      </w:r>
      <w:proofErr w:type="gramEnd"/>
    </w:p>
    <w:p w14:paraId="5833C74D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571A8AB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4607DD8" w14:textId="77777777" w:rsidR="00071D58" w:rsidRPr="00C225A9" w:rsidRDefault="00071D58" w:rsidP="00071D58">
      <w:pPr>
        <w:pStyle w:val="Style1"/>
      </w:pPr>
      <w:r w:rsidRPr="00C225A9">
        <w:t>8.</w:t>
      </w:r>
      <w:r w:rsidRPr="00C225A9">
        <w:tab/>
        <w:t>DATUM PRVNÍ REGISTRACE</w:t>
      </w:r>
    </w:p>
    <w:p w14:paraId="04C87328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8F6750A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t>Datum první registrace: 4. 9. 2014</w:t>
      </w:r>
    </w:p>
    <w:p w14:paraId="41F4BA41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49A1D3D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7608DE5" w14:textId="77777777" w:rsidR="00071D58" w:rsidRPr="00C225A9" w:rsidRDefault="00071D58" w:rsidP="00071D58">
      <w:pPr>
        <w:pStyle w:val="Style1"/>
      </w:pPr>
      <w:r w:rsidRPr="00C225A9">
        <w:t>9.</w:t>
      </w:r>
      <w:r w:rsidRPr="00C225A9">
        <w:tab/>
        <w:t>DATUM POSLEDNÍ AKTUALIZACE SOUHRNU ÚDAJŮ O PŘÍPRAVKU</w:t>
      </w:r>
    </w:p>
    <w:p w14:paraId="1E3050C7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E9799D1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C225A9">
        <w:t>0</w:t>
      </w:r>
      <w:r>
        <w:t>7</w:t>
      </w:r>
      <w:r w:rsidRPr="00C225A9">
        <w:t>/2025</w:t>
      </w:r>
    </w:p>
    <w:p w14:paraId="58F4B141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E40EBA5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B9CFB65" w14:textId="77777777" w:rsidR="00071D58" w:rsidRPr="00C225A9" w:rsidRDefault="00071D58" w:rsidP="00071D58">
      <w:pPr>
        <w:pStyle w:val="Style1"/>
      </w:pPr>
      <w:r w:rsidRPr="00C225A9">
        <w:t>10.</w:t>
      </w:r>
      <w:r w:rsidRPr="00C225A9">
        <w:tab/>
        <w:t>KLASIFIKACE VETERINÁRNÍCH LÉČIVÝCH PŘÍPRAVKŮ</w:t>
      </w:r>
    </w:p>
    <w:p w14:paraId="30654575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8266555" w14:textId="77777777" w:rsidR="00071D58" w:rsidRPr="00C225A9" w:rsidRDefault="00071D58" w:rsidP="00071D58">
      <w:pPr>
        <w:numPr>
          <w:ilvl w:val="12"/>
          <w:numId w:val="0"/>
        </w:numPr>
        <w:rPr>
          <w:szCs w:val="22"/>
        </w:rPr>
      </w:pPr>
      <w:r w:rsidRPr="00C225A9">
        <w:t>Veterinární léčivý přípravek je vydáván pouze na předpis.</w:t>
      </w:r>
    </w:p>
    <w:p w14:paraId="340A40D3" w14:textId="77777777" w:rsidR="00071D58" w:rsidRPr="00C225A9" w:rsidRDefault="00071D58" w:rsidP="00071D58">
      <w:pPr>
        <w:ind w:right="-318"/>
        <w:rPr>
          <w:szCs w:val="22"/>
        </w:rPr>
      </w:pPr>
    </w:p>
    <w:p w14:paraId="0865BB6B" w14:textId="77777777" w:rsidR="00071D58" w:rsidRPr="00C225A9" w:rsidRDefault="00071D58" w:rsidP="00071D58">
      <w:pPr>
        <w:ind w:right="-1"/>
        <w:rPr>
          <w:szCs w:val="22"/>
        </w:rPr>
      </w:pPr>
      <w:r w:rsidRPr="00C225A9">
        <w:t xml:space="preserve">Podrobné informace o tomto veterinárním léčivém přípravku jsou k dispozici v databázi přípravků Unie </w:t>
      </w:r>
      <w:r w:rsidRPr="00C225A9">
        <w:rPr>
          <w:szCs w:val="22"/>
        </w:rPr>
        <w:t>(</w:t>
      </w:r>
      <w:hyperlink r:id="rId10" w:history="1">
        <w:r w:rsidRPr="00C225A9">
          <w:rPr>
            <w:rStyle w:val="Hypertextovodkaz"/>
            <w:szCs w:val="22"/>
          </w:rPr>
          <w:t>https://medicines.health.europa.eu/veterinary</w:t>
        </w:r>
      </w:hyperlink>
      <w:r w:rsidRPr="00C225A9">
        <w:rPr>
          <w:szCs w:val="22"/>
        </w:rPr>
        <w:t>)</w:t>
      </w:r>
      <w:r w:rsidRPr="00C225A9">
        <w:rPr>
          <w:i/>
          <w:szCs w:val="22"/>
        </w:rPr>
        <w:t>.</w:t>
      </w:r>
    </w:p>
    <w:p w14:paraId="41D3A667" w14:textId="77777777" w:rsidR="00071D58" w:rsidRPr="00C225A9" w:rsidRDefault="00071D58" w:rsidP="00071D58">
      <w:pPr>
        <w:tabs>
          <w:tab w:val="clear" w:pos="567"/>
        </w:tabs>
        <w:spacing w:line="240" w:lineRule="auto"/>
      </w:pPr>
    </w:p>
    <w:p w14:paraId="6FA38F89" w14:textId="77777777" w:rsidR="00071D58" w:rsidRPr="00C225A9" w:rsidRDefault="00071D58" w:rsidP="00071D58">
      <w:pPr>
        <w:ind w:right="-318"/>
        <w:rPr>
          <w:szCs w:val="22"/>
        </w:rPr>
      </w:pPr>
      <w:r w:rsidRPr="00C225A9">
        <w:rPr>
          <w:rStyle w:val="markedcontent"/>
        </w:rPr>
        <w:lastRenderedPageBreak/>
        <w:t>Podrobné informace o tomto veterinárním léčivém přípravku naleznete také v národní databázi (</w:t>
      </w:r>
      <w:hyperlink r:id="rId11" w:history="1">
        <w:r w:rsidRPr="00C225A9">
          <w:rPr>
            <w:rStyle w:val="Hypertextovodkaz"/>
          </w:rPr>
          <w:t>https://www.uskvbl.cz</w:t>
        </w:r>
      </w:hyperlink>
      <w:r w:rsidRPr="00C225A9">
        <w:rPr>
          <w:rStyle w:val="markedcontent"/>
        </w:rPr>
        <w:t>).</w:t>
      </w:r>
    </w:p>
    <w:p w14:paraId="70C67DF7" w14:textId="77777777" w:rsidR="00071D58" w:rsidRPr="00C225A9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C72EF24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04D2CE4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BC00790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0EEE5E5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7F66014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1D0A998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D070D40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229432B5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2A6A1728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307255C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4310D5F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8DAABE8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2801DE8A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AC32640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B9F6873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D76DFA5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246E6495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A155EFA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0E97529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74085A6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15436C2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6C550EC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9548E22" w14:textId="77777777" w:rsidR="00071D58" w:rsidRDefault="00071D5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br w:type="page"/>
      </w:r>
    </w:p>
    <w:p w14:paraId="7D260CD0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70B33AC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F05794B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74526D6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621A7AA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7F9BDB3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EAA8645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0B39F55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9E09C7D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0D78787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4562180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442C845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FDC0496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2E0E4A5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68C6729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5F75AE5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D6E36C3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94B8E5C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EFBE70E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C3CD185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7F74BD4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20C8FFC" w14:textId="77777777" w:rsidR="00071D58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ABE3A2A" w14:textId="2524DBAF" w:rsidR="00071D58" w:rsidRPr="00141A43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bookmarkStart w:id="21" w:name="_GoBack"/>
      <w:bookmarkEnd w:id="21"/>
      <w:r w:rsidRPr="00141A43">
        <w:rPr>
          <w:b/>
          <w:szCs w:val="22"/>
        </w:rPr>
        <w:t>PŘÍLOHA I</w:t>
      </w:r>
    </w:p>
    <w:p w14:paraId="5ECA26B9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C3C7804" w14:textId="77777777" w:rsidR="00071D58" w:rsidRPr="00141A43" w:rsidRDefault="00071D58" w:rsidP="00071D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41A43">
        <w:rPr>
          <w:b/>
          <w:szCs w:val="22"/>
        </w:rPr>
        <w:t>SOUHRN ÚDAJŮ O PŘÍPRAVKU</w:t>
      </w:r>
    </w:p>
    <w:p w14:paraId="06D4E35C" w14:textId="77777777" w:rsidR="00071D58" w:rsidRPr="00141A43" w:rsidRDefault="00071D58" w:rsidP="00071D58">
      <w:pPr>
        <w:pStyle w:val="Style1"/>
      </w:pPr>
      <w:r w:rsidRPr="00141A43">
        <w:br w:type="page"/>
      </w:r>
      <w:r w:rsidRPr="00141A43">
        <w:lastRenderedPageBreak/>
        <w:t>1.</w:t>
      </w:r>
      <w:r w:rsidRPr="00141A43">
        <w:tab/>
        <w:t>NÁZEV VETERINÁRNÍHO LÉČIVÉHO PŘÍPRAVKU</w:t>
      </w:r>
    </w:p>
    <w:p w14:paraId="3022F2DA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7CB5209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1A43">
        <w:t>Zodon</w:t>
      </w:r>
      <w:proofErr w:type="spellEnd"/>
      <w:r w:rsidRPr="00141A43">
        <w:t xml:space="preserve"> 264 mg žvýkací tablety pro psy</w:t>
      </w:r>
    </w:p>
    <w:p w14:paraId="5E170FFD" w14:textId="77777777" w:rsidR="00071D58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5CD4C41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FF3304F" w14:textId="77777777" w:rsidR="00071D58" w:rsidRPr="00141A43" w:rsidRDefault="00071D58" w:rsidP="00071D58">
      <w:pPr>
        <w:pStyle w:val="Style1"/>
      </w:pPr>
      <w:r w:rsidRPr="00141A43">
        <w:t>2.</w:t>
      </w:r>
      <w:r w:rsidRPr="00141A43">
        <w:tab/>
        <w:t>KVALITATIVNÍ A KVANTITATIVNÍ SLOŽENÍ</w:t>
      </w:r>
    </w:p>
    <w:p w14:paraId="4F91003E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8C3378C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Každá tableta obsahuje:</w:t>
      </w:r>
    </w:p>
    <w:p w14:paraId="4436B45A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b/>
          <w:szCs w:val="22"/>
        </w:rPr>
      </w:pPr>
    </w:p>
    <w:p w14:paraId="01B1A6E8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b/>
          <w:szCs w:val="22"/>
        </w:rPr>
      </w:pPr>
      <w:r w:rsidRPr="00141A43">
        <w:rPr>
          <w:b/>
          <w:szCs w:val="22"/>
        </w:rPr>
        <w:t>Léčivé látky:</w:t>
      </w:r>
    </w:p>
    <w:p w14:paraId="175CCD54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41A43">
        <w:rPr>
          <w:iCs/>
          <w:szCs w:val="22"/>
        </w:rPr>
        <w:t>Clindamycinum</w:t>
      </w:r>
      <w:proofErr w:type="spellEnd"/>
      <w:r w:rsidRPr="00141A43">
        <w:rPr>
          <w:iCs/>
          <w:szCs w:val="22"/>
        </w:rPr>
        <w:t xml:space="preserve"> (jako </w:t>
      </w:r>
      <w:proofErr w:type="spellStart"/>
      <w:r w:rsidRPr="00141A43">
        <w:rPr>
          <w:iCs/>
          <w:szCs w:val="22"/>
        </w:rPr>
        <w:t>hydrochloridum</w:t>
      </w:r>
      <w:proofErr w:type="spellEnd"/>
      <w:r w:rsidRPr="00141A43">
        <w:rPr>
          <w:iCs/>
          <w:szCs w:val="22"/>
        </w:rPr>
        <w:t>) ........................264 mg</w:t>
      </w:r>
    </w:p>
    <w:p w14:paraId="5E3DC816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331EA28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</w:tblGrid>
      <w:tr w:rsidR="00071D58" w:rsidRPr="00141A43" w14:paraId="2BC8C4C9" w14:textId="77777777" w:rsidTr="00A327C4">
        <w:tc>
          <w:tcPr>
            <w:tcW w:w="4540" w:type="dxa"/>
            <w:shd w:val="clear" w:color="auto" w:fill="auto"/>
            <w:vAlign w:val="center"/>
          </w:tcPr>
          <w:p w14:paraId="2CF0C52B" w14:textId="77777777" w:rsidR="00071D58" w:rsidRPr="00141A43" w:rsidRDefault="00071D58" w:rsidP="00A327C4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41A43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071D58" w:rsidRPr="00141A43" w14:paraId="2FDE865F" w14:textId="77777777" w:rsidTr="00A327C4">
        <w:tc>
          <w:tcPr>
            <w:tcW w:w="4540" w:type="dxa"/>
            <w:shd w:val="clear" w:color="auto" w:fill="auto"/>
            <w:vAlign w:val="center"/>
          </w:tcPr>
          <w:p w14:paraId="50322C69" w14:textId="77777777" w:rsidR="00071D58" w:rsidRPr="00141A43" w:rsidRDefault="00071D58" w:rsidP="00A327C4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141A43">
              <w:rPr>
                <w:iCs/>
                <w:szCs w:val="22"/>
              </w:rPr>
              <w:t>Kuřecí aroma</w:t>
            </w:r>
          </w:p>
        </w:tc>
      </w:tr>
      <w:tr w:rsidR="00071D58" w:rsidRPr="00141A43" w14:paraId="4FBE1AAE" w14:textId="77777777" w:rsidTr="00A327C4">
        <w:tc>
          <w:tcPr>
            <w:tcW w:w="4540" w:type="dxa"/>
            <w:shd w:val="clear" w:color="auto" w:fill="auto"/>
            <w:vAlign w:val="center"/>
          </w:tcPr>
          <w:p w14:paraId="06D5B645" w14:textId="77777777" w:rsidR="00071D58" w:rsidRPr="00141A43" w:rsidRDefault="00071D58" w:rsidP="00A327C4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141A43">
              <w:rPr>
                <w:iCs/>
                <w:szCs w:val="22"/>
              </w:rPr>
              <w:t>Kvasnicový extrakt</w:t>
            </w:r>
          </w:p>
        </w:tc>
      </w:tr>
      <w:tr w:rsidR="00071D58" w:rsidRPr="00141A43" w14:paraId="1BE37B3E" w14:textId="77777777" w:rsidTr="00A327C4">
        <w:tc>
          <w:tcPr>
            <w:tcW w:w="4540" w:type="dxa"/>
            <w:shd w:val="clear" w:color="auto" w:fill="auto"/>
            <w:vAlign w:val="center"/>
          </w:tcPr>
          <w:p w14:paraId="4B126618" w14:textId="77777777" w:rsidR="00071D58" w:rsidRPr="00141A43" w:rsidRDefault="00071D58" w:rsidP="00A327C4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141A43">
              <w:rPr>
                <w:iCs/>
                <w:szCs w:val="22"/>
              </w:rPr>
              <w:t xml:space="preserve">Sodná sůl </w:t>
            </w:r>
            <w:proofErr w:type="spellStart"/>
            <w:r w:rsidRPr="00141A43">
              <w:rPr>
                <w:iCs/>
                <w:szCs w:val="22"/>
              </w:rPr>
              <w:t>kroskarmelosy</w:t>
            </w:r>
            <w:proofErr w:type="spellEnd"/>
          </w:p>
        </w:tc>
      </w:tr>
      <w:tr w:rsidR="00071D58" w:rsidRPr="00141A43" w14:paraId="5187B1EA" w14:textId="77777777" w:rsidTr="00A327C4">
        <w:tc>
          <w:tcPr>
            <w:tcW w:w="4540" w:type="dxa"/>
            <w:shd w:val="clear" w:color="auto" w:fill="auto"/>
            <w:vAlign w:val="center"/>
          </w:tcPr>
          <w:p w14:paraId="00FBA8CF" w14:textId="77777777" w:rsidR="00071D58" w:rsidRPr="00141A43" w:rsidRDefault="00071D58" w:rsidP="00A327C4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141A43">
              <w:rPr>
                <w:iCs/>
                <w:szCs w:val="22"/>
              </w:rPr>
              <w:t>Kopovidon</w:t>
            </w:r>
            <w:proofErr w:type="spellEnd"/>
          </w:p>
        </w:tc>
      </w:tr>
      <w:tr w:rsidR="00071D58" w:rsidRPr="00141A43" w14:paraId="588E1CB5" w14:textId="77777777" w:rsidTr="00A327C4">
        <w:tc>
          <w:tcPr>
            <w:tcW w:w="4540" w:type="dxa"/>
            <w:shd w:val="clear" w:color="auto" w:fill="auto"/>
            <w:vAlign w:val="center"/>
          </w:tcPr>
          <w:p w14:paraId="5DC137FF" w14:textId="77777777" w:rsidR="00071D58" w:rsidRPr="00141A43" w:rsidRDefault="00071D58" w:rsidP="00A327C4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141A43">
              <w:rPr>
                <w:iCs/>
                <w:szCs w:val="22"/>
              </w:rPr>
              <w:t>Magnesium-</w:t>
            </w:r>
            <w:proofErr w:type="spellStart"/>
            <w:r w:rsidRPr="00141A43">
              <w:rPr>
                <w:iCs/>
                <w:szCs w:val="22"/>
              </w:rPr>
              <w:t>stearát</w:t>
            </w:r>
            <w:proofErr w:type="spellEnd"/>
          </w:p>
        </w:tc>
      </w:tr>
      <w:tr w:rsidR="00071D58" w:rsidRPr="00141A43" w14:paraId="411DC484" w14:textId="77777777" w:rsidTr="00A327C4">
        <w:tc>
          <w:tcPr>
            <w:tcW w:w="4540" w:type="dxa"/>
            <w:shd w:val="clear" w:color="auto" w:fill="auto"/>
            <w:vAlign w:val="center"/>
          </w:tcPr>
          <w:p w14:paraId="5EF03B3F" w14:textId="77777777" w:rsidR="00071D58" w:rsidRPr="00141A43" w:rsidRDefault="00071D58" w:rsidP="00A327C4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141A43">
              <w:rPr>
                <w:iCs/>
                <w:szCs w:val="22"/>
              </w:rPr>
              <w:t>Koloidní bezvodý oxid křemičitý</w:t>
            </w:r>
          </w:p>
        </w:tc>
      </w:tr>
      <w:tr w:rsidR="00071D58" w:rsidRPr="00141A43" w14:paraId="23AB422C" w14:textId="77777777" w:rsidTr="00A327C4">
        <w:tc>
          <w:tcPr>
            <w:tcW w:w="4540" w:type="dxa"/>
            <w:shd w:val="clear" w:color="auto" w:fill="auto"/>
            <w:vAlign w:val="center"/>
          </w:tcPr>
          <w:p w14:paraId="2E08D39F" w14:textId="77777777" w:rsidR="00071D58" w:rsidRPr="00141A43" w:rsidRDefault="00071D58" w:rsidP="00A327C4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141A43">
              <w:rPr>
                <w:iCs/>
                <w:szCs w:val="22"/>
              </w:rPr>
              <w:t xml:space="preserve">Mikrokrystalická </w:t>
            </w:r>
            <w:proofErr w:type="spellStart"/>
            <w:r w:rsidRPr="00141A43">
              <w:rPr>
                <w:iCs/>
                <w:szCs w:val="22"/>
              </w:rPr>
              <w:t>celulosa</w:t>
            </w:r>
            <w:proofErr w:type="spellEnd"/>
          </w:p>
        </w:tc>
      </w:tr>
      <w:tr w:rsidR="00071D58" w:rsidRPr="00141A43" w14:paraId="7E0BEAAE" w14:textId="77777777" w:rsidTr="00A327C4">
        <w:tc>
          <w:tcPr>
            <w:tcW w:w="4540" w:type="dxa"/>
            <w:shd w:val="clear" w:color="auto" w:fill="auto"/>
            <w:vAlign w:val="center"/>
          </w:tcPr>
          <w:p w14:paraId="7C16496E" w14:textId="77777777" w:rsidR="00071D58" w:rsidRPr="00141A43" w:rsidRDefault="00071D58" w:rsidP="00A327C4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141A43">
              <w:rPr>
                <w:iCs/>
                <w:szCs w:val="22"/>
              </w:rPr>
              <w:t>Monohydrát</w:t>
            </w:r>
            <w:proofErr w:type="spellEnd"/>
            <w:r w:rsidRPr="00141A43">
              <w:rPr>
                <w:iCs/>
                <w:szCs w:val="22"/>
              </w:rPr>
              <w:t xml:space="preserve"> </w:t>
            </w:r>
            <w:proofErr w:type="spellStart"/>
            <w:r w:rsidRPr="00141A43">
              <w:rPr>
                <w:iCs/>
                <w:szCs w:val="22"/>
              </w:rPr>
              <w:t>laktosy</w:t>
            </w:r>
            <w:proofErr w:type="spellEnd"/>
          </w:p>
        </w:tc>
      </w:tr>
    </w:tbl>
    <w:p w14:paraId="2A3720CE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FF24199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Tableta béžové barvy ve tvaru jetelového listu s dělící rýhou. Tabletu lze dělit na čtyři stejné části.</w:t>
      </w:r>
    </w:p>
    <w:p w14:paraId="2BCB5E5A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3EF7F62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5F6A088" w14:textId="77777777" w:rsidR="00071D58" w:rsidRPr="00141A43" w:rsidRDefault="00071D58" w:rsidP="00071D58">
      <w:pPr>
        <w:pStyle w:val="Style1"/>
      </w:pPr>
      <w:r w:rsidRPr="00141A43">
        <w:t>3.</w:t>
      </w:r>
      <w:r w:rsidRPr="00141A43">
        <w:tab/>
        <w:t>KLINICKÉ INFORMACE</w:t>
      </w:r>
    </w:p>
    <w:p w14:paraId="61793149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16499FC" w14:textId="77777777" w:rsidR="00071D58" w:rsidRPr="00141A43" w:rsidRDefault="00071D58" w:rsidP="00071D58">
      <w:pPr>
        <w:pStyle w:val="Style1"/>
      </w:pPr>
      <w:r w:rsidRPr="00141A43">
        <w:t>3.1</w:t>
      </w:r>
      <w:r w:rsidRPr="00141A43">
        <w:tab/>
        <w:t>Cílové druhy zvířat</w:t>
      </w:r>
    </w:p>
    <w:p w14:paraId="0B741192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ED2CA47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Psi.</w:t>
      </w:r>
    </w:p>
    <w:p w14:paraId="77A712FE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F9092FB" w14:textId="77777777" w:rsidR="00071D58" w:rsidRPr="00141A43" w:rsidRDefault="00071D58" w:rsidP="00071D58">
      <w:pPr>
        <w:pStyle w:val="Style1"/>
      </w:pPr>
      <w:r w:rsidRPr="00141A43">
        <w:t>3.2</w:t>
      </w:r>
      <w:r w:rsidRPr="00141A43">
        <w:tab/>
        <w:t>Indikace pro použití pro každý cílový druh zvířat</w:t>
      </w:r>
    </w:p>
    <w:p w14:paraId="48639900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2FF16B78" w14:textId="77777777" w:rsidR="00071D58" w:rsidRPr="00141A43" w:rsidRDefault="00071D58" w:rsidP="00071D58">
      <w:pPr>
        <w:tabs>
          <w:tab w:val="clear" w:pos="567"/>
        </w:tabs>
        <w:spacing w:line="240" w:lineRule="auto"/>
      </w:pPr>
      <w:r w:rsidRPr="00141A43">
        <w:t>- Léčba infikovaných ran</w:t>
      </w:r>
      <w:r>
        <w:t>,</w:t>
      </w:r>
      <w:r w:rsidRPr="00141A43">
        <w:t xml:space="preserve"> abscesů a infekcí ústní dutiny včetně onemocnění </w:t>
      </w:r>
      <w:proofErr w:type="spellStart"/>
      <w:r w:rsidRPr="00141A43">
        <w:t>periodontu</w:t>
      </w:r>
      <w:proofErr w:type="spellEnd"/>
    </w:p>
    <w:p w14:paraId="5BB4A598" w14:textId="77777777" w:rsidR="00071D58" w:rsidRPr="00141A43" w:rsidRDefault="00071D58" w:rsidP="00071D58">
      <w:pPr>
        <w:tabs>
          <w:tab w:val="clear" w:pos="567"/>
        </w:tabs>
        <w:spacing w:line="240" w:lineRule="auto"/>
      </w:pPr>
      <w:r>
        <w:t>vyvolaných</w:t>
      </w:r>
      <w:r w:rsidRPr="00141A43">
        <w:t xml:space="preserve"> nebo spojených s</w:t>
      </w:r>
      <w:r>
        <w:t> bakteriemi rodu</w:t>
      </w:r>
      <w:r w:rsidRPr="00141A43">
        <w:t xml:space="preserve"> </w:t>
      </w:r>
      <w:proofErr w:type="spellStart"/>
      <w:r w:rsidRPr="00141A43">
        <w:rPr>
          <w:i/>
          <w:iCs/>
        </w:rPr>
        <w:t>Staphylococcus</w:t>
      </w:r>
      <w:proofErr w:type="spellEnd"/>
      <w:r w:rsidRPr="00141A43">
        <w:rPr>
          <w:i/>
          <w:iCs/>
        </w:rPr>
        <w:t xml:space="preserve"> </w:t>
      </w:r>
      <w:proofErr w:type="spellStart"/>
      <w:r w:rsidRPr="00141A43">
        <w:t>spp</w:t>
      </w:r>
      <w:proofErr w:type="spellEnd"/>
      <w:r w:rsidRPr="00141A43">
        <w:t xml:space="preserve">., </w:t>
      </w:r>
      <w:proofErr w:type="spellStart"/>
      <w:r w:rsidRPr="00141A43">
        <w:rPr>
          <w:i/>
          <w:iCs/>
        </w:rPr>
        <w:t>Streptococcus</w:t>
      </w:r>
      <w:proofErr w:type="spellEnd"/>
      <w:r w:rsidRPr="00141A43">
        <w:rPr>
          <w:i/>
          <w:iCs/>
        </w:rPr>
        <w:t xml:space="preserve"> </w:t>
      </w:r>
      <w:proofErr w:type="spellStart"/>
      <w:r w:rsidRPr="00141A43">
        <w:t>spp</w:t>
      </w:r>
      <w:proofErr w:type="spellEnd"/>
      <w:r w:rsidRPr="00141A43">
        <w:t>. (s výjimkou</w:t>
      </w:r>
    </w:p>
    <w:p w14:paraId="3C41B19A" w14:textId="77777777" w:rsidR="00071D58" w:rsidRPr="00141A43" w:rsidRDefault="00071D58" w:rsidP="00071D58">
      <w:pPr>
        <w:tabs>
          <w:tab w:val="clear" w:pos="567"/>
        </w:tabs>
        <w:spacing w:line="240" w:lineRule="auto"/>
      </w:pPr>
      <w:proofErr w:type="spellStart"/>
      <w:r w:rsidRPr="00141A43">
        <w:rPr>
          <w:i/>
          <w:iCs/>
        </w:rPr>
        <w:t>Enterococcus</w:t>
      </w:r>
      <w:proofErr w:type="spellEnd"/>
      <w:r w:rsidRPr="00141A43">
        <w:rPr>
          <w:i/>
          <w:iCs/>
        </w:rPr>
        <w:t xml:space="preserve"> </w:t>
      </w:r>
      <w:proofErr w:type="spellStart"/>
      <w:r w:rsidRPr="00141A43">
        <w:rPr>
          <w:i/>
          <w:iCs/>
        </w:rPr>
        <w:t>faecalis</w:t>
      </w:r>
      <w:proofErr w:type="spellEnd"/>
      <w:r w:rsidRPr="00141A43">
        <w:rPr>
          <w:i/>
          <w:iCs/>
        </w:rPr>
        <w:t>)</w:t>
      </w:r>
      <w:r w:rsidRPr="00141A43">
        <w:t xml:space="preserve">, </w:t>
      </w:r>
      <w:proofErr w:type="spellStart"/>
      <w:r w:rsidRPr="00141A43">
        <w:rPr>
          <w:i/>
          <w:iCs/>
        </w:rPr>
        <w:t>Bacteroides</w:t>
      </w:r>
      <w:proofErr w:type="spellEnd"/>
      <w:r w:rsidRPr="00141A43">
        <w:rPr>
          <w:i/>
          <w:iCs/>
        </w:rPr>
        <w:t xml:space="preserve"> </w:t>
      </w:r>
      <w:proofErr w:type="spellStart"/>
      <w:r w:rsidRPr="00141A43">
        <w:t>spp</w:t>
      </w:r>
      <w:proofErr w:type="spellEnd"/>
      <w:r w:rsidRPr="00141A43">
        <w:t xml:space="preserve">., </w:t>
      </w:r>
      <w:proofErr w:type="spellStart"/>
      <w:r w:rsidRPr="00141A43">
        <w:rPr>
          <w:i/>
          <w:iCs/>
        </w:rPr>
        <w:t>Fusobacterium</w:t>
      </w:r>
      <w:proofErr w:type="spellEnd"/>
      <w:r w:rsidRPr="00141A43">
        <w:rPr>
          <w:i/>
          <w:iCs/>
        </w:rPr>
        <w:t xml:space="preserve"> </w:t>
      </w:r>
      <w:proofErr w:type="spellStart"/>
      <w:r w:rsidRPr="00141A43">
        <w:rPr>
          <w:i/>
          <w:iCs/>
        </w:rPr>
        <w:t>necrophorum</w:t>
      </w:r>
      <w:proofErr w:type="spellEnd"/>
      <w:r w:rsidRPr="00141A43">
        <w:rPr>
          <w:i/>
          <w:iCs/>
        </w:rPr>
        <w:t xml:space="preserve"> a Clostridium </w:t>
      </w:r>
      <w:proofErr w:type="spellStart"/>
      <w:r w:rsidRPr="00141A43">
        <w:rPr>
          <w:i/>
          <w:iCs/>
        </w:rPr>
        <w:t>perfringens</w:t>
      </w:r>
      <w:proofErr w:type="spellEnd"/>
      <w:r w:rsidRPr="00141A43">
        <w:t>.</w:t>
      </w:r>
    </w:p>
    <w:p w14:paraId="3F4744AD" w14:textId="77777777" w:rsidR="00071D58" w:rsidRPr="00141A43" w:rsidRDefault="00071D58" w:rsidP="00071D58">
      <w:pPr>
        <w:tabs>
          <w:tab w:val="clear" w:pos="567"/>
        </w:tabs>
        <w:spacing w:line="240" w:lineRule="auto"/>
      </w:pPr>
      <w:r w:rsidRPr="00141A43">
        <w:t xml:space="preserve">- Léčba povrchové pyodermie spojené se </w:t>
      </w:r>
      <w:proofErr w:type="spellStart"/>
      <w:r w:rsidRPr="00141A43">
        <w:rPr>
          <w:i/>
          <w:iCs/>
        </w:rPr>
        <w:t>Staphylococcus</w:t>
      </w:r>
      <w:proofErr w:type="spellEnd"/>
      <w:r w:rsidRPr="00141A43">
        <w:rPr>
          <w:i/>
          <w:iCs/>
        </w:rPr>
        <w:t xml:space="preserve"> </w:t>
      </w:r>
      <w:proofErr w:type="spellStart"/>
      <w:r w:rsidRPr="00141A43">
        <w:rPr>
          <w:i/>
          <w:iCs/>
        </w:rPr>
        <w:t>pseudintermedius</w:t>
      </w:r>
      <w:proofErr w:type="spellEnd"/>
      <w:r w:rsidRPr="00141A43">
        <w:t>.</w:t>
      </w:r>
    </w:p>
    <w:p w14:paraId="2C22719F" w14:textId="77777777" w:rsidR="00071D58" w:rsidRPr="00141A43" w:rsidRDefault="00071D58" w:rsidP="00071D58">
      <w:pPr>
        <w:tabs>
          <w:tab w:val="clear" w:pos="567"/>
        </w:tabs>
        <w:spacing w:line="240" w:lineRule="auto"/>
      </w:pPr>
      <w:r w:rsidRPr="00141A43">
        <w:t xml:space="preserve">- Léčba osteomyelitidy </w:t>
      </w:r>
      <w:r>
        <w:t>vyvolané</w:t>
      </w:r>
      <w:r w:rsidRPr="00141A43">
        <w:t xml:space="preserve"> </w:t>
      </w:r>
      <w:proofErr w:type="spellStart"/>
      <w:r w:rsidRPr="00141A43">
        <w:rPr>
          <w:i/>
          <w:iCs/>
        </w:rPr>
        <w:t>Staphylococcus</w:t>
      </w:r>
      <w:proofErr w:type="spellEnd"/>
      <w:r w:rsidRPr="00141A43">
        <w:rPr>
          <w:i/>
          <w:iCs/>
        </w:rPr>
        <w:t xml:space="preserve"> aureus</w:t>
      </w:r>
      <w:r w:rsidRPr="00141A43">
        <w:t>.</w:t>
      </w:r>
    </w:p>
    <w:p w14:paraId="406DB342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B82C44A" w14:textId="77777777" w:rsidR="00071D58" w:rsidRPr="00141A43" w:rsidRDefault="00071D58" w:rsidP="00071D58">
      <w:pPr>
        <w:pStyle w:val="Style1"/>
      </w:pPr>
      <w:r w:rsidRPr="00141A43">
        <w:t>3.3</w:t>
      </w:r>
      <w:r w:rsidRPr="00141A43">
        <w:tab/>
        <w:t>Kontraindikace</w:t>
      </w:r>
    </w:p>
    <w:p w14:paraId="72B13880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3D17CBD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 xml:space="preserve">Nepoužívat v </w:t>
      </w:r>
      <w:r w:rsidRPr="00141A43">
        <w:t xml:space="preserve">případech </w:t>
      </w:r>
      <w:r w:rsidRPr="00141A43">
        <w:rPr>
          <w:szCs w:val="22"/>
        </w:rPr>
        <w:t xml:space="preserve">přecitlivělosti na léčivou látku nebo na některou z pomocných látek nebo na </w:t>
      </w:r>
      <w:proofErr w:type="spellStart"/>
      <w:r w:rsidRPr="00141A43">
        <w:rPr>
          <w:szCs w:val="22"/>
        </w:rPr>
        <w:t>linkomycin</w:t>
      </w:r>
      <w:proofErr w:type="spellEnd"/>
      <w:r w:rsidRPr="00141A43">
        <w:rPr>
          <w:szCs w:val="22"/>
        </w:rPr>
        <w:t>.</w:t>
      </w:r>
    </w:p>
    <w:p w14:paraId="66AB2A69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Nepodávat králíkům, křečkům, morčatům, činčilám, koním nebo přežvýkavcům, protože požití</w:t>
      </w:r>
    </w:p>
    <w:p w14:paraId="4F86F07C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1A43">
        <w:rPr>
          <w:szCs w:val="22"/>
        </w:rPr>
        <w:t>klindamycinu</w:t>
      </w:r>
      <w:proofErr w:type="spellEnd"/>
      <w:r w:rsidRPr="00141A43">
        <w:rPr>
          <w:szCs w:val="22"/>
        </w:rPr>
        <w:t xml:space="preserve"> u těchto druhů může mít za následek závažné gastrointestinální poruchy.</w:t>
      </w:r>
    </w:p>
    <w:p w14:paraId="06C4A5EF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11E6FFB" w14:textId="77777777" w:rsidR="00071D58" w:rsidRPr="00141A43" w:rsidRDefault="00071D58" w:rsidP="00071D58">
      <w:pPr>
        <w:pStyle w:val="Style1"/>
      </w:pPr>
      <w:r w:rsidRPr="00141A43">
        <w:t>3.4</w:t>
      </w:r>
      <w:r w:rsidRPr="00141A43">
        <w:tab/>
        <w:t>Zvláštní upozornění</w:t>
      </w:r>
    </w:p>
    <w:p w14:paraId="47BAC5D4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3442118" w14:textId="77777777" w:rsidR="00071D58" w:rsidRPr="00141A43" w:rsidRDefault="00071D58" w:rsidP="00071D58">
      <w:pPr>
        <w:tabs>
          <w:tab w:val="clear" w:pos="567"/>
        </w:tabs>
        <w:spacing w:line="240" w:lineRule="auto"/>
      </w:pPr>
      <w:r w:rsidRPr="00141A43">
        <w:t>Nejsou.</w:t>
      </w:r>
    </w:p>
    <w:p w14:paraId="47B66FB5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CE8525D" w14:textId="77777777" w:rsidR="00071D58" w:rsidRPr="00141A43" w:rsidRDefault="00071D58" w:rsidP="00071D58">
      <w:pPr>
        <w:pStyle w:val="Style1"/>
      </w:pPr>
      <w:r w:rsidRPr="00141A43">
        <w:lastRenderedPageBreak/>
        <w:t>3.5</w:t>
      </w:r>
      <w:r w:rsidRPr="00141A43">
        <w:tab/>
        <w:t>Zvláštní opatření pro použití</w:t>
      </w:r>
    </w:p>
    <w:p w14:paraId="37AC8AEF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15AC1CC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41A43">
        <w:rPr>
          <w:szCs w:val="22"/>
          <w:u w:val="single"/>
        </w:rPr>
        <w:t>Zvláštní opatření pro bezpečné použití u cílových druhů zvířat:</w:t>
      </w:r>
    </w:p>
    <w:p w14:paraId="41C99A2F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Žvýkací tablety jsou ochucené. K zamezení náhodnému požití, skladujte tablety mimo dosah zvířat.</w:t>
      </w:r>
    </w:p>
    <w:p w14:paraId="6E2CC647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Veterinární léčivý přípravek by měl být používán na základě výsledku stanovení citlivosti bakterií izolovaných ze zvířete.</w:t>
      </w:r>
    </w:p>
    <w:p w14:paraId="46BF7D64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Při použití tohoto veterinárního léčivého přípravku by měly být vzaty v úvahu principy oficiální a národní antibiotické politiky.</w:t>
      </w:r>
    </w:p>
    <w:p w14:paraId="3B3A38E0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Použití veterinárního léčivého přípravku v rozporu s pokyny uvedenými v</w:t>
      </w:r>
      <w:r>
        <w:rPr>
          <w:szCs w:val="22"/>
        </w:rPr>
        <w:t> tomto souhrnu údajů o přípravku (</w:t>
      </w:r>
      <w:r w:rsidRPr="00141A43">
        <w:rPr>
          <w:szCs w:val="22"/>
        </w:rPr>
        <w:t>SPC</w:t>
      </w:r>
      <w:r>
        <w:rPr>
          <w:szCs w:val="22"/>
        </w:rPr>
        <w:t>)</w:t>
      </w:r>
      <w:r w:rsidRPr="00141A43">
        <w:rPr>
          <w:szCs w:val="22"/>
        </w:rPr>
        <w:t xml:space="preserve"> </w:t>
      </w:r>
      <w:r w:rsidRPr="00AF3C18">
        <w:rPr>
          <w:szCs w:val="22"/>
        </w:rPr>
        <w:t xml:space="preserve">může vést ke zvýšení prevalence bakterií rezistentních na </w:t>
      </w:r>
      <w:proofErr w:type="spellStart"/>
      <w:r w:rsidRPr="00AF3C18">
        <w:rPr>
          <w:szCs w:val="22"/>
        </w:rPr>
        <w:t>klindamycin</w:t>
      </w:r>
      <w:proofErr w:type="spellEnd"/>
      <w:r w:rsidRPr="00AF3C18">
        <w:rPr>
          <w:szCs w:val="22"/>
        </w:rPr>
        <w:t xml:space="preserve"> a ke snížení účinnosti léčby </w:t>
      </w:r>
      <w:proofErr w:type="spellStart"/>
      <w:r w:rsidRPr="00AF3C18">
        <w:rPr>
          <w:szCs w:val="22"/>
        </w:rPr>
        <w:t>linkomycinem</w:t>
      </w:r>
      <w:proofErr w:type="spellEnd"/>
      <w:r w:rsidRPr="00141A43">
        <w:rPr>
          <w:szCs w:val="22"/>
        </w:rPr>
        <w:t xml:space="preserve"> nebo </w:t>
      </w:r>
      <w:proofErr w:type="spellStart"/>
      <w:r w:rsidRPr="00141A43">
        <w:rPr>
          <w:szCs w:val="22"/>
        </w:rPr>
        <w:t>antimikrobiky</w:t>
      </w:r>
      <w:proofErr w:type="spellEnd"/>
      <w:r w:rsidRPr="00141A43">
        <w:rPr>
          <w:szCs w:val="22"/>
        </w:rPr>
        <w:t xml:space="preserve"> ze skupiny </w:t>
      </w:r>
      <w:proofErr w:type="spellStart"/>
      <w:r w:rsidRPr="00141A43">
        <w:rPr>
          <w:szCs w:val="22"/>
        </w:rPr>
        <w:t>makrolidů</w:t>
      </w:r>
      <w:proofErr w:type="spellEnd"/>
      <w:r w:rsidRPr="00141A43">
        <w:rPr>
          <w:szCs w:val="22"/>
        </w:rPr>
        <w:t xml:space="preserve"> z důvodů možné zkřížené rezistence.</w:t>
      </w:r>
    </w:p>
    <w:p w14:paraId="43A4B128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1A43">
        <w:rPr>
          <w:szCs w:val="22"/>
        </w:rPr>
        <w:t>Klindamycin</w:t>
      </w:r>
      <w:proofErr w:type="spellEnd"/>
      <w:r w:rsidRPr="00141A43">
        <w:rPr>
          <w:szCs w:val="22"/>
        </w:rPr>
        <w:t xml:space="preserve"> a </w:t>
      </w:r>
      <w:proofErr w:type="spellStart"/>
      <w:r w:rsidRPr="00141A43">
        <w:rPr>
          <w:szCs w:val="22"/>
        </w:rPr>
        <w:t>erythromycin</w:t>
      </w:r>
      <w:proofErr w:type="spellEnd"/>
      <w:r w:rsidRPr="00141A43">
        <w:rPr>
          <w:szCs w:val="22"/>
        </w:rPr>
        <w:t xml:space="preserve"> vykazují zkříženou rezistenci. Částečná zkřížená rezistence byla</w:t>
      </w:r>
    </w:p>
    <w:p w14:paraId="202D25D2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 xml:space="preserve">prokázána mezi </w:t>
      </w:r>
      <w:proofErr w:type="spellStart"/>
      <w:r w:rsidRPr="00141A43">
        <w:rPr>
          <w:szCs w:val="22"/>
        </w:rPr>
        <w:t>klindamycinem</w:t>
      </w:r>
      <w:proofErr w:type="spellEnd"/>
      <w:r w:rsidRPr="00141A43">
        <w:rPr>
          <w:szCs w:val="22"/>
        </w:rPr>
        <w:t xml:space="preserve">, </w:t>
      </w:r>
      <w:proofErr w:type="spellStart"/>
      <w:r w:rsidRPr="00141A43">
        <w:rPr>
          <w:szCs w:val="22"/>
        </w:rPr>
        <w:t>erythromycinem</w:t>
      </w:r>
      <w:proofErr w:type="spellEnd"/>
      <w:r w:rsidRPr="00141A43">
        <w:rPr>
          <w:szCs w:val="22"/>
        </w:rPr>
        <w:t xml:space="preserve"> a jinými </w:t>
      </w:r>
      <w:proofErr w:type="spellStart"/>
      <w:r w:rsidRPr="00141A43">
        <w:rPr>
          <w:szCs w:val="22"/>
        </w:rPr>
        <w:t>makrolidovými</w:t>
      </w:r>
      <w:proofErr w:type="spellEnd"/>
      <w:r w:rsidRPr="00141A43">
        <w:rPr>
          <w:szCs w:val="22"/>
        </w:rPr>
        <w:t xml:space="preserve"> antibiotiky.</w:t>
      </w:r>
    </w:p>
    <w:p w14:paraId="7F10BE67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AF3C18">
        <w:rPr>
          <w:szCs w:val="22"/>
        </w:rPr>
        <w:t xml:space="preserve">Při dlouhodobé terapii trvající jeden měsíc nebo déle </w:t>
      </w:r>
      <w:r w:rsidRPr="00141A43">
        <w:rPr>
          <w:szCs w:val="22"/>
        </w:rPr>
        <w:t>by měly být pravidelně prováděny</w:t>
      </w:r>
    </w:p>
    <w:p w14:paraId="406582CF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testy funkce jater a ledvin a testy krevního obrazu.</w:t>
      </w:r>
    </w:p>
    <w:p w14:paraId="11580FC0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AF3C18">
        <w:rPr>
          <w:szCs w:val="22"/>
        </w:rPr>
        <w:t xml:space="preserve">U zvířat s těžkou renální a/nebo </w:t>
      </w:r>
      <w:proofErr w:type="spellStart"/>
      <w:r w:rsidRPr="00AF3C18">
        <w:rPr>
          <w:szCs w:val="22"/>
        </w:rPr>
        <w:t>hepatální</w:t>
      </w:r>
      <w:proofErr w:type="spellEnd"/>
      <w:r w:rsidRPr="00AF3C18">
        <w:rPr>
          <w:szCs w:val="22"/>
        </w:rPr>
        <w:t xml:space="preserve"> dysfunkcí doprovázenou závažnými metabolickými poruchami </w:t>
      </w:r>
      <w:r w:rsidRPr="00141A43">
        <w:rPr>
          <w:szCs w:val="22"/>
        </w:rPr>
        <w:t xml:space="preserve">je třeba zvlášť opatrně zvažovat dávkování veterinárního léčivého přípravku a v případě použití režimu s vysokou dávkou </w:t>
      </w:r>
      <w:proofErr w:type="spellStart"/>
      <w:r w:rsidRPr="00141A43">
        <w:rPr>
          <w:szCs w:val="22"/>
        </w:rPr>
        <w:t>klindamycinu</w:t>
      </w:r>
      <w:proofErr w:type="spellEnd"/>
      <w:r w:rsidRPr="00141A43">
        <w:rPr>
          <w:szCs w:val="22"/>
        </w:rPr>
        <w:t xml:space="preserve"> musí být zdravotní stav zvířat monitorován biochemickým vyšetřením krevního séra.</w:t>
      </w:r>
    </w:p>
    <w:p w14:paraId="7A60F656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1A43">
        <w:rPr>
          <w:szCs w:val="22"/>
        </w:rPr>
        <w:t>Klindamycin</w:t>
      </w:r>
      <w:proofErr w:type="spellEnd"/>
      <w:r w:rsidRPr="00141A43">
        <w:rPr>
          <w:szCs w:val="22"/>
        </w:rPr>
        <w:t xml:space="preserve"> v některých případech vyvolává přemnožení necitlivých organismů, jako jsou klostridie a kvasinky. V případě superinfekce je nutné přijmout vhodná opatření v závislosti na klinické situaci.</w:t>
      </w:r>
    </w:p>
    <w:p w14:paraId="74D74D48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2BCAFBB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41A43">
        <w:rPr>
          <w:szCs w:val="22"/>
          <w:u w:val="single"/>
        </w:rPr>
        <w:t>Zvláštní opatření pro osobu, která podává veterinární léčivý přípravek zvířatům:</w:t>
      </w:r>
    </w:p>
    <w:p w14:paraId="1BAE540E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 xml:space="preserve">Lidé se známou přecitlivělostí na </w:t>
      </w:r>
      <w:proofErr w:type="spellStart"/>
      <w:r w:rsidRPr="00141A43">
        <w:rPr>
          <w:szCs w:val="22"/>
        </w:rPr>
        <w:t>linkosamidy</w:t>
      </w:r>
      <w:proofErr w:type="spellEnd"/>
      <w:r w:rsidRPr="00141A43">
        <w:rPr>
          <w:szCs w:val="22"/>
        </w:rPr>
        <w:t xml:space="preserve"> (</w:t>
      </w:r>
      <w:proofErr w:type="spellStart"/>
      <w:r w:rsidRPr="00141A43">
        <w:rPr>
          <w:szCs w:val="22"/>
        </w:rPr>
        <w:t>linkomycin</w:t>
      </w:r>
      <w:proofErr w:type="spellEnd"/>
      <w:r w:rsidRPr="00141A43">
        <w:rPr>
          <w:szCs w:val="22"/>
        </w:rPr>
        <w:t xml:space="preserve"> a </w:t>
      </w:r>
      <w:proofErr w:type="spellStart"/>
      <w:r w:rsidRPr="00141A43">
        <w:rPr>
          <w:szCs w:val="22"/>
        </w:rPr>
        <w:t>klindamycin</w:t>
      </w:r>
      <w:proofErr w:type="spellEnd"/>
      <w:r w:rsidRPr="00141A43">
        <w:rPr>
          <w:szCs w:val="22"/>
        </w:rPr>
        <w:t>) by se měli vyhnout</w:t>
      </w:r>
    </w:p>
    <w:p w14:paraId="09DB5CA2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kontaktu s veterinárním léčivým přípravkem.</w:t>
      </w:r>
    </w:p>
    <w:p w14:paraId="3F7D582B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 xml:space="preserve">Po </w:t>
      </w:r>
      <w:r>
        <w:rPr>
          <w:szCs w:val="22"/>
        </w:rPr>
        <w:t>nakládání</w:t>
      </w:r>
      <w:r w:rsidRPr="00141A43">
        <w:rPr>
          <w:szCs w:val="22"/>
        </w:rPr>
        <w:t xml:space="preserve"> s tabletami si umyjte ruce.</w:t>
      </w:r>
    </w:p>
    <w:p w14:paraId="46AC2EA1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 xml:space="preserve">Náhodné požití může způsobit gastrointestinální potíže, jako je bolest břicha a průjem. </w:t>
      </w:r>
      <w:r>
        <w:rPr>
          <w:szCs w:val="22"/>
        </w:rPr>
        <w:t xml:space="preserve">Zabraňte </w:t>
      </w:r>
      <w:r w:rsidRPr="00141A43">
        <w:rPr>
          <w:szCs w:val="22"/>
        </w:rPr>
        <w:t>náhodnému požití.</w:t>
      </w:r>
    </w:p>
    <w:p w14:paraId="5685BB7E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V případě náhodného požití, zejména dětmi, vyhledejte ihned lékařskou pomoc a ukažte příbalovou</w:t>
      </w:r>
    </w:p>
    <w:p w14:paraId="6376A4EB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informaci nebo etiketu praktickému lékaři.</w:t>
      </w:r>
    </w:p>
    <w:p w14:paraId="59A1A489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2931FB74" w14:textId="77777777" w:rsidR="00071D58" w:rsidRPr="00141A43" w:rsidRDefault="00071D58" w:rsidP="00071D5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141A43">
        <w:rPr>
          <w:szCs w:val="22"/>
          <w:u w:val="single"/>
        </w:rPr>
        <w:t>Zvláštní opatření pro ochranu životního prostředí:</w:t>
      </w:r>
    </w:p>
    <w:p w14:paraId="7D886941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t>Neuplatňuje se.</w:t>
      </w:r>
    </w:p>
    <w:p w14:paraId="753AD3D4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CDD5789" w14:textId="77777777" w:rsidR="00071D58" w:rsidRPr="00141A43" w:rsidRDefault="00071D58" w:rsidP="00071D58">
      <w:pPr>
        <w:pStyle w:val="Style1"/>
      </w:pPr>
      <w:r w:rsidRPr="00141A43">
        <w:t>3.6</w:t>
      </w:r>
      <w:r w:rsidRPr="00141A43">
        <w:tab/>
        <w:t>Nežádoucí účinky</w:t>
      </w:r>
    </w:p>
    <w:p w14:paraId="027415CA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A7492F7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t>Psi:</w:t>
      </w:r>
    </w:p>
    <w:p w14:paraId="2536EA7F" w14:textId="77777777" w:rsidR="00071D58" w:rsidRPr="00141A43" w:rsidRDefault="00071D58" w:rsidP="00071D58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71D58" w:rsidRPr="00141A43" w14:paraId="23FBC7CE" w14:textId="77777777" w:rsidTr="00A327C4">
        <w:tc>
          <w:tcPr>
            <w:tcW w:w="1957" w:type="pct"/>
          </w:tcPr>
          <w:p w14:paraId="46CECFAC" w14:textId="77777777" w:rsidR="00071D58" w:rsidRPr="00141A43" w:rsidRDefault="00071D58" w:rsidP="00A327C4">
            <w:pPr>
              <w:spacing w:before="60" w:after="60"/>
              <w:rPr>
                <w:szCs w:val="22"/>
              </w:rPr>
            </w:pPr>
            <w:r w:rsidRPr="00141A43">
              <w:t>Velmi vzácné</w:t>
            </w:r>
          </w:p>
          <w:p w14:paraId="0701C28B" w14:textId="77777777" w:rsidR="00071D58" w:rsidRPr="00141A43" w:rsidRDefault="00071D58" w:rsidP="00A327C4">
            <w:pPr>
              <w:spacing w:before="60" w:after="60"/>
              <w:rPr>
                <w:szCs w:val="22"/>
              </w:rPr>
            </w:pPr>
            <w:r w:rsidRPr="00141A43"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699105CA" w14:textId="77777777" w:rsidR="00071D58" w:rsidRPr="00141A43" w:rsidRDefault="00071D58" w:rsidP="00A327C4">
            <w:pPr>
              <w:spacing w:before="60" w:after="60"/>
            </w:pPr>
            <w:r w:rsidRPr="00141A43">
              <w:t>Hypersenzitivní reakce</w:t>
            </w:r>
          </w:p>
          <w:p w14:paraId="7B981888" w14:textId="77777777" w:rsidR="00071D58" w:rsidRPr="00141A43" w:rsidRDefault="00071D58" w:rsidP="00A327C4">
            <w:pPr>
              <w:spacing w:before="60" w:after="60"/>
              <w:rPr>
                <w:iCs/>
                <w:szCs w:val="22"/>
              </w:rPr>
            </w:pPr>
            <w:r w:rsidRPr="00141A43">
              <w:rPr>
                <w:iCs/>
                <w:szCs w:val="22"/>
              </w:rPr>
              <w:t>Trombocytopenie</w:t>
            </w:r>
          </w:p>
          <w:p w14:paraId="14F206CE" w14:textId="77777777" w:rsidR="00071D58" w:rsidRPr="00141A43" w:rsidRDefault="00071D58" w:rsidP="00A327C4">
            <w:pPr>
              <w:spacing w:before="60" w:after="60"/>
              <w:rPr>
                <w:iCs/>
                <w:szCs w:val="22"/>
              </w:rPr>
            </w:pPr>
            <w:r w:rsidRPr="00141A43">
              <w:rPr>
                <w:iCs/>
                <w:szCs w:val="22"/>
              </w:rPr>
              <w:t>Zvracení, průjem</w:t>
            </w:r>
          </w:p>
        </w:tc>
      </w:tr>
    </w:tbl>
    <w:p w14:paraId="0D2D01CE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2AAF8C1" w14:textId="77777777" w:rsidR="00071D58" w:rsidRPr="00141A43" w:rsidRDefault="00071D58" w:rsidP="00071D58">
      <w:r w:rsidRPr="00141A43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</w:t>
      </w:r>
    </w:p>
    <w:p w14:paraId="4415D170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410A0EA" w14:textId="77777777" w:rsidR="00071D58" w:rsidRPr="00141A43" w:rsidRDefault="00071D58" w:rsidP="00071D58">
      <w:pPr>
        <w:pStyle w:val="Style1"/>
      </w:pPr>
      <w:r w:rsidRPr="00141A43">
        <w:t>3.7</w:t>
      </w:r>
      <w:r w:rsidRPr="00141A43">
        <w:tab/>
        <w:t>Použití v průběhu březosti, laktace nebo snášky</w:t>
      </w:r>
    </w:p>
    <w:p w14:paraId="5CF9E1B6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954DF80" w14:textId="77777777" w:rsidR="00071D58" w:rsidRPr="00141A43" w:rsidRDefault="00071D58" w:rsidP="00071D58">
      <w:pPr>
        <w:tabs>
          <w:tab w:val="clear" w:pos="567"/>
        </w:tabs>
        <w:spacing w:line="240" w:lineRule="auto"/>
      </w:pPr>
      <w:r w:rsidRPr="00141A43">
        <w:rPr>
          <w:u w:val="single"/>
        </w:rPr>
        <w:t>Březost</w:t>
      </w:r>
      <w:r w:rsidRPr="00141A43">
        <w:t xml:space="preserve"> </w:t>
      </w:r>
      <w:r w:rsidRPr="00141A43">
        <w:rPr>
          <w:szCs w:val="22"/>
          <w:u w:val="single"/>
        </w:rPr>
        <w:t>a laktace</w:t>
      </w:r>
      <w:r w:rsidRPr="00141A43">
        <w:t>:</w:t>
      </w:r>
    </w:p>
    <w:p w14:paraId="480F3047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Zatímco studie s použitím vysoké dávky u potkanů nepodaly důkaz o teratogenním účinku</w:t>
      </w:r>
    </w:p>
    <w:p w14:paraId="09BBFA86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1A43">
        <w:rPr>
          <w:szCs w:val="22"/>
        </w:rPr>
        <w:t>klindamycinu</w:t>
      </w:r>
      <w:proofErr w:type="spellEnd"/>
      <w:r w:rsidRPr="00141A43">
        <w:rPr>
          <w:szCs w:val="22"/>
        </w:rPr>
        <w:t xml:space="preserve"> ani o účinku </w:t>
      </w:r>
      <w:proofErr w:type="spellStart"/>
      <w:r w:rsidRPr="00141A43">
        <w:rPr>
          <w:szCs w:val="22"/>
        </w:rPr>
        <w:t>klindamycinu</w:t>
      </w:r>
      <w:proofErr w:type="spellEnd"/>
      <w:r w:rsidRPr="00141A43">
        <w:rPr>
          <w:szCs w:val="22"/>
        </w:rPr>
        <w:t xml:space="preserve"> na reprodukci u samců a samic, nebyla stanovena bezpečnost</w:t>
      </w:r>
    </w:p>
    <w:p w14:paraId="0B869B48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u březích fen nebo chovných psů.</w:t>
      </w:r>
    </w:p>
    <w:p w14:paraId="45FFE043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1A43">
        <w:rPr>
          <w:szCs w:val="22"/>
        </w:rPr>
        <w:t>Klindamycin</w:t>
      </w:r>
      <w:proofErr w:type="spellEnd"/>
      <w:r w:rsidRPr="00141A43">
        <w:rPr>
          <w:szCs w:val="22"/>
        </w:rPr>
        <w:t xml:space="preserve"> prochází placentární bariérou a přechází do mléka.</w:t>
      </w:r>
    </w:p>
    <w:p w14:paraId="044B52A5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lastRenderedPageBreak/>
        <w:t xml:space="preserve">Léčba </w:t>
      </w:r>
      <w:proofErr w:type="spellStart"/>
      <w:r w:rsidRPr="00141A43">
        <w:rPr>
          <w:szCs w:val="22"/>
        </w:rPr>
        <w:t>laktujících</w:t>
      </w:r>
      <w:proofErr w:type="spellEnd"/>
      <w:r w:rsidRPr="00141A43">
        <w:rPr>
          <w:szCs w:val="22"/>
        </w:rPr>
        <w:t xml:space="preserve"> fen může způsobit průjem u štěňat sajících jejich mléko.</w:t>
      </w:r>
    </w:p>
    <w:p w14:paraId="58AE316C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t>Použít pouze po zvážení terapeutického prospěchu a rizika příslušným veterinárním lékařem.</w:t>
      </w:r>
    </w:p>
    <w:p w14:paraId="2DAADFE4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8F67D2">
        <w:t xml:space="preserve">Nedoporučuje se použití </w:t>
      </w:r>
      <w:r w:rsidRPr="00141A43">
        <w:rPr>
          <w:szCs w:val="22"/>
        </w:rPr>
        <w:t>u novorozených mláďat.</w:t>
      </w:r>
    </w:p>
    <w:p w14:paraId="0F5BF7A3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637D878" w14:textId="77777777" w:rsidR="00071D58" w:rsidRPr="00141A43" w:rsidRDefault="00071D58" w:rsidP="00071D58">
      <w:pPr>
        <w:pStyle w:val="Style1"/>
      </w:pPr>
      <w:r w:rsidRPr="00141A43">
        <w:t>3.8</w:t>
      </w:r>
      <w:r w:rsidRPr="00141A43">
        <w:tab/>
        <w:t>Interakce s jinými léčivými přípravky a další formy interakce</w:t>
      </w:r>
    </w:p>
    <w:p w14:paraId="37784C89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D1CEE8D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 xml:space="preserve">Bylo prokázáno, že </w:t>
      </w:r>
      <w:proofErr w:type="spellStart"/>
      <w:r w:rsidRPr="00141A43">
        <w:rPr>
          <w:szCs w:val="22"/>
        </w:rPr>
        <w:t>klindamycin</w:t>
      </w:r>
      <w:proofErr w:type="spellEnd"/>
      <w:r w:rsidRPr="00141A43">
        <w:rPr>
          <w:szCs w:val="22"/>
        </w:rPr>
        <w:t xml:space="preserve"> </w:t>
      </w:r>
      <w:proofErr w:type="spellStart"/>
      <w:r w:rsidRPr="00141A43">
        <w:rPr>
          <w:szCs w:val="22"/>
        </w:rPr>
        <w:t>hydrochlorid</w:t>
      </w:r>
      <w:proofErr w:type="spellEnd"/>
      <w:r w:rsidRPr="00141A43">
        <w:rPr>
          <w:szCs w:val="22"/>
        </w:rPr>
        <w:t xml:space="preserve"> má schopnost blokovat nervosvalový přenos signálů,</w:t>
      </w:r>
    </w:p>
    <w:p w14:paraId="79F85556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 xml:space="preserve">což může zvyšovat účinek ostatních nervosvalových blokátorů. </w:t>
      </w:r>
      <w:r>
        <w:rPr>
          <w:szCs w:val="22"/>
        </w:rPr>
        <w:t>Zvířatům</w:t>
      </w:r>
      <w:r w:rsidRPr="00141A43">
        <w:rPr>
          <w:szCs w:val="22"/>
        </w:rPr>
        <w:t>, kterým jsou takové látky</w:t>
      </w:r>
    </w:p>
    <w:p w14:paraId="46EEB456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 xml:space="preserve">podávány, </w:t>
      </w:r>
      <w:r>
        <w:rPr>
          <w:szCs w:val="22"/>
        </w:rPr>
        <w:t>by měl být</w:t>
      </w:r>
      <w:r w:rsidRPr="00141A43">
        <w:rPr>
          <w:szCs w:val="22"/>
        </w:rPr>
        <w:t xml:space="preserve"> veterinární léčivý přípravek podáván obezřetně.</w:t>
      </w:r>
    </w:p>
    <w:p w14:paraId="4E8916E4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1A43">
        <w:rPr>
          <w:szCs w:val="22"/>
        </w:rPr>
        <w:t>Klindamycin</w:t>
      </w:r>
      <w:proofErr w:type="spellEnd"/>
      <w:r w:rsidRPr="00141A43">
        <w:rPr>
          <w:szCs w:val="22"/>
        </w:rPr>
        <w:t xml:space="preserve"> nesmí být podáván současně s </w:t>
      </w:r>
      <w:proofErr w:type="spellStart"/>
      <w:r w:rsidRPr="00141A43">
        <w:rPr>
          <w:szCs w:val="22"/>
        </w:rPr>
        <w:t>erythromycinem</w:t>
      </w:r>
      <w:proofErr w:type="spellEnd"/>
      <w:r w:rsidRPr="00141A43">
        <w:rPr>
          <w:szCs w:val="22"/>
        </w:rPr>
        <w:t xml:space="preserve"> nebo jinými </w:t>
      </w:r>
      <w:proofErr w:type="spellStart"/>
      <w:r w:rsidRPr="00141A43">
        <w:rPr>
          <w:szCs w:val="22"/>
        </w:rPr>
        <w:t>makrolidy</w:t>
      </w:r>
      <w:proofErr w:type="spellEnd"/>
      <w:r w:rsidRPr="00141A43">
        <w:rPr>
          <w:szCs w:val="22"/>
        </w:rPr>
        <w:t xml:space="preserve">, aby se </w:t>
      </w:r>
      <w:proofErr w:type="spellStart"/>
      <w:r>
        <w:rPr>
          <w:szCs w:val="22"/>
        </w:rPr>
        <w:t>předšlo</w:t>
      </w:r>
      <w:proofErr w:type="spellEnd"/>
      <w:r>
        <w:rPr>
          <w:szCs w:val="22"/>
        </w:rPr>
        <w:t xml:space="preserve"> vzniku </w:t>
      </w:r>
      <w:proofErr w:type="spellStart"/>
      <w:r w:rsidRPr="00141A43">
        <w:rPr>
          <w:szCs w:val="22"/>
        </w:rPr>
        <w:t>makrolid</w:t>
      </w:r>
      <w:r>
        <w:rPr>
          <w:szCs w:val="22"/>
        </w:rPr>
        <w:t>y</w:t>
      </w:r>
      <w:proofErr w:type="spellEnd"/>
      <w:r w:rsidRPr="00141A43">
        <w:rPr>
          <w:szCs w:val="22"/>
        </w:rPr>
        <w:t xml:space="preserve"> indukované rezistenc</w:t>
      </w:r>
      <w:r>
        <w:rPr>
          <w:szCs w:val="22"/>
        </w:rPr>
        <w:t>e</w:t>
      </w:r>
      <w:r w:rsidRPr="00141A43">
        <w:rPr>
          <w:szCs w:val="22"/>
        </w:rPr>
        <w:t xml:space="preserve"> vůči </w:t>
      </w:r>
      <w:proofErr w:type="spellStart"/>
      <w:r w:rsidRPr="00141A43">
        <w:rPr>
          <w:szCs w:val="22"/>
        </w:rPr>
        <w:t>klindamycinu</w:t>
      </w:r>
      <w:proofErr w:type="spellEnd"/>
      <w:r w:rsidRPr="00141A43">
        <w:rPr>
          <w:szCs w:val="22"/>
        </w:rPr>
        <w:t>.</w:t>
      </w:r>
    </w:p>
    <w:p w14:paraId="7C4005E3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1A43">
        <w:rPr>
          <w:szCs w:val="22"/>
        </w:rPr>
        <w:t>Klindamycin</w:t>
      </w:r>
      <w:proofErr w:type="spellEnd"/>
      <w:r w:rsidRPr="00141A43">
        <w:rPr>
          <w:szCs w:val="22"/>
        </w:rPr>
        <w:t xml:space="preserve"> může snižovat plazmatické hladiny cyklosporinu</w:t>
      </w:r>
      <w:r w:rsidRPr="00AF3C18">
        <w:rPr>
          <w:szCs w:val="22"/>
        </w:rPr>
        <w:t>, což může vést ke snížení jeho účinnosti.</w:t>
      </w:r>
    </w:p>
    <w:p w14:paraId="3F2EC63B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 xml:space="preserve">Při současném užívání </w:t>
      </w:r>
      <w:proofErr w:type="spellStart"/>
      <w:r w:rsidRPr="00141A43">
        <w:rPr>
          <w:szCs w:val="22"/>
        </w:rPr>
        <w:t>klindamycinu</w:t>
      </w:r>
      <w:proofErr w:type="spellEnd"/>
      <w:r w:rsidRPr="00141A43">
        <w:rPr>
          <w:szCs w:val="22"/>
        </w:rPr>
        <w:t xml:space="preserve"> a aminoglykosidů (např. </w:t>
      </w:r>
      <w:proofErr w:type="spellStart"/>
      <w:r w:rsidRPr="00141A43">
        <w:rPr>
          <w:szCs w:val="22"/>
        </w:rPr>
        <w:t>gentamicinu</w:t>
      </w:r>
      <w:proofErr w:type="spellEnd"/>
      <w:r w:rsidRPr="00141A43">
        <w:rPr>
          <w:szCs w:val="22"/>
        </w:rPr>
        <w:t>) nelze vyloučit riziko</w:t>
      </w:r>
    </w:p>
    <w:p w14:paraId="0077AD83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nežádoucích interakcí (akutní selhání ledvin).</w:t>
      </w:r>
    </w:p>
    <w:p w14:paraId="0A483989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FD3E011" w14:textId="77777777" w:rsidR="00071D58" w:rsidRPr="00141A43" w:rsidRDefault="00071D58" w:rsidP="00071D58">
      <w:pPr>
        <w:pStyle w:val="Style1"/>
      </w:pPr>
      <w:r w:rsidRPr="00141A43">
        <w:t>3.9</w:t>
      </w:r>
      <w:r w:rsidRPr="00141A43">
        <w:tab/>
        <w:t>Cesty podání a dávkování</w:t>
      </w:r>
    </w:p>
    <w:p w14:paraId="4E4799FE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2BEB951B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Perorální podání.</w:t>
      </w:r>
    </w:p>
    <w:p w14:paraId="07C3F74B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3F29A7E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 xml:space="preserve">1. K léčbě infikovaných ran a abscesů a infekcí ústní dutiny včetně onemocnění </w:t>
      </w:r>
      <w:proofErr w:type="spellStart"/>
      <w:r w:rsidRPr="00141A43">
        <w:rPr>
          <w:szCs w:val="22"/>
        </w:rPr>
        <w:t>periodontu</w:t>
      </w:r>
      <w:proofErr w:type="spellEnd"/>
      <w:r w:rsidRPr="00141A43">
        <w:rPr>
          <w:szCs w:val="22"/>
        </w:rPr>
        <w:t xml:space="preserve"> podávejte</w:t>
      </w:r>
    </w:p>
    <w:p w14:paraId="0D1D87A1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buď:</w:t>
      </w:r>
    </w:p>
    <w:p w14:paraId="40E8D347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- 5,5 mg/kg ž.hm. každých 12 hodin po dobu 7-10 dnů, nebo</w:t>
      </w:r>
    </w:p>
    <w:p w14:paraId="3EFE0F94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- 11 mg/kg ž.hm. každých 24 hodin po dobu 7 až 10 dnů.</w:t>
      </w:r>
    </w:p>
    <w:p w14:paraId="33A870DD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Pokud se neprojeví žádná klinická odpověď do 4 dnů, je potřeba přehodnotit diagnózu.</w:t>
      </w:r>
    </w:p>
    <w:p w14:paraId="5FFEAECB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88479C9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2. K léčbě povrchové pyodermie u psů podávejte buď:</w:t>
      </w:r>
    </w:p>
    <w:p w14:paraId="1D40FE45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- 5,5 mg/kg ž.hm. každých 12 hodin, nebo</w:t>
      </w:r>
    </w:p>
    <w:p w14:paraId="61676645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- 11 mg/kg ž.hm. každých 24 hodin.</w:t>
      </w:r>
    </w:p>
    <w:p w14:paraId="56CB50AA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Doporučená délka léčby povrchové pyodermie je obvykle 21 dnů, s tím, že je možné na základě</w:t>
      </w:r>
    </w:p>
    <w:p w14:paraId="50E25D4D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klinického posouzení rozhodnout o jejím prodloužení.</w:t>
      </w:r>
    </w:p>
    <w:p w14:paraId="1722411F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828F631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 xml:space="preserve">3. K léčbě osteomyelitidy u psů </w:t>
      </w:r>
      <w:r>
        <w:rPr>
          <w:szCs w:val="22"/>
        </w:rPr>
        <w:t>podávejte</w:t>
      </w:r>
      <w:r w:rsidRPr="00141A43">
        <w:rPr>
          <w:szCs w:val="22"/>
        </w:rPr>
        <w:t>:</w:t>
      </w:r>
    </w:p>
    <w:p w14:paraId="7679648E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- 11 mg/kg ž.hm. každých 12 hodin po dobu nejméně 28 dnů.</w:t>
      </w:r>
    </w:p>
    <w:p w14:paraId="2A13829D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Pokud se během 14 dnů nedostaví žádná klinická odpověď, je nutné léčbu ukončit a přehodnotit</w:t>
      </w:r>
    </w:p>
    <w:p w14:paraId="49869195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diagnózu.</w:t>
      </w:r>
    </w:p>
    <w:p w14:paraId="4A8BE515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3E03C4E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Příklad dávkování:</w:t>
      </w:r>
    </w:p>
    <w:p w14:paraId="7C7668D4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• Pro dávkování 11 mg/kg</w:t>
      </w:r>
    </w:p>
    <w:p w14:paraId="65A08DD1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4"/>
        <w:gridCol w:w="2864"/>
      </w:tblGrid>
      <w:tr w:rsidR="00071D58" w:rsidRPr="00141A43" w14:paraId="4E74A935" w14:textId="77777777" w:rsidTr="00A327C4">
        <w:tc>
          <w:tcPr>
            <w:tcW w:w="1984" w:type="dxa"/>
          </w:tcPr>
          <w:p w14:paraId="5B6D6E0E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b/>
                <w:bCs/>
                <w:szCs w:val="22"/>
              </w:rPr>
              <w:t>Hmotnost (kg)</w:t>
            </w:r>
          </w:p>
        </w:tc>
        <w:tc>
          <w:tcPr>
            <w:tcW w:w="2864" w:type="dxa"/>
          </w:tcPr>
          <w:p w14:paraId="1023F4D8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b/>
                <w:bCs/>
                <w:szCs w:val="22"/>
              </w:rPr>
              <w:t>Počet podávaných tablet</w:t>
            </w:r>
          </w:p>
        </w:tc>
      </w:tr>
      <w:tr w:rsidR="00071D58" w:rsidRPr="00141A43" w14:paraId="2A6296EF" w14:textId="77777777" w:rsidTr="00A327C4">
        <w:tc>
          <w:tcPr>
            <w:tcW w:w="1984" w:type="dxa"/>
          </w:tcPr>
          <w:p w14:paraId="6C8C2C92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5 – 6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0</w:t>
            </w:r>
          </w:p>
        </w:tc>
        <w:tc>
          <w:tcPr>
            <w:tcW w:w="2864" w:type="dxa"/>
          </w:tcPr>
          <w:p w14:paraId="5896C078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¼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  <w:tr w:rsidR="00071D58" w:rsidRPr="00141A43" w14:paraId="4F4C22D3" w14:textId="77777777" w:rsidTr="00A327C4">
        <w:tc>
          <w:tcPr>
            <w:tcW w:w="1984" w:type="dxa"/>
          </w:tcPr>
          <w:p w14:paraId="23451269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6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 xml:space="preserve">1 </w:t>
            </w:r>
            <w:r>
              <w:rPr>
                <w:szCs w:val="22"/>
              </w:rPr>
              <w:t>–</w:t>
            </w:r>
            <w:r w:rsidRPr="00141A43">
              <w:rPr>
                <w:szCs w:val="22"/>
              </w:rPr>
              <w:t xml:space="preserve"> 9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0</w:t>
            </w:r>
          </w:p>
        </w:tc>
        <w:tc>
          <w:tcPr>
            <w:tcW w:w="2864" w:type="dxa"/>
          </w:tcPr>
          <w:p w14:paraId="2BE019D7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použijte </w:t>
            </w:r>
            <w:proofErr w:type="spellStart"/>
            <w:r w:rsidRPr="00141A43">
              <w:rPr>
                <w:szCs w:val="22"/>
              </w:rPr>
              <w:t>Zodon</w:t>
            </w:r>
            <w:proofErr w:type="spellEnd"/>
            <w:r w:rsidRPr="00141A43">
              <w:rPr>
                <w:szCs w:val="22"/>
              </w:rPr>
              <w:t xml:space="preserve"> 88 mg</w:t>
            </w:r>
          </w:p>
        </w:tc>
      </w:tr>
      <w:tr w:rsidR="00071D58" w:rsidRPr="00141A43" w14:paraId="1D27D32D" w14:textId="77777777" w:rsidTr="00A327C4">
        <w:tc>
          <w:tcPr>
            <w:tcW w:w="1984" w:type="dxa"/>
          </w:tcPr>
          <w:p w14:paraId="36E0CAB3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9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12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0</w:t>
            </w:r>
          </w:p>
        </w:tc>
        <w:tc>
          <w:tcPr>
            <w:tcW w:w="2864" w:type="dxa"/>
          </w:tcPr>
          <w:p w14:paraId="68CD0AE5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½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  <w:tr w:rsidR="00071D58" w:rsidRPr="00141A43" w14:paraId="6C2C2D62" w14:textId="77777777" w:rsidTr="00A327C4">
        <w:tc>
          <w:tcPr>
            <w:tcW w:w="1984" w:type="dxa"/>
          </w:tcPr>
          <w:p w14:paraId="1BDD32FA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12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18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 xml:space="preserve">0 </w:t>
            </w:r>
          </w:p>
        </w:tc>
        <w:tc>
          <w:tcPr>
            <w:tcW w:w="2864" w:type="dxa"/>
          </w:tcPr>
          <w:p w14:paraId="0FF95B31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¾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  <w:tr w:rsidR="00071D58" w:rsidRPr="00141A43" w14:paraId="2D1CFAA4" w14:textId="77777777" w:rsidTr="00A327C4">
        <w:tc>
          <w:tcPr>
            <w:tcW w:w="1984" w:type="dxa"/>
          </w:tcPr>
          <w:p w14:paraId="75D5E67C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18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24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 xml:space="preserve">0 </w:t>
            </w:r>
          </w:p>
        </w:tc>
        <w:tc>
          <w:tcPr>
            <w:tcW w:w="2864" w:type="dxa"/>
          </w:tcPr>
          <w:p w14:paraId="29F813D1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1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  <w:tr w:rsidR="00071D58" w:rsidRPr="00141A43" w14:paraId="6FF6D823" w14:textId="77777777" w:rsidTr="00A327C4">
        <w:tc>
          <w:tcPr>
            <w:tcW w:w="1984" w:type="dxa"/>
          </w:tcPr>
          <w:p w14:paraId="4BC82484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24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30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0</w:t>
            </w:r>
          </w:p>
        </w:tc>
        <w:tc>
          <w:tcPr>
            <w:tcW w:w="2864" w:type="dxa"/>
          </w:tcPr>
          <w:p w14:paraId="582DCBF8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1 + ¼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  <w:tr w:rsidR="00071D58" w:rsidRPr="00141A43" w14:paraId="52A64B99" w14:textId="77777777" w:rsidTr="00A327C4">
        <w:tc>
          <w:tcPr>
            <w:tcW w:w="1984" w:type="dxa"/>
          </w:tcPr>
          <w:p w14:paraId="6BCE97E5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30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3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6FA61CA8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1 + ½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  <w:tr w:rsidR="00071D58" w:rsidRPr="00141A43" w14:paraId="5B9D3EC2" w14:textId="77777777" w:rsidTr="00A327C4">
        <w:tc>
          <w:tcPr>
            <w:tcW w:w="1984" w:type="dxa"/>
          </w:tcPr>
          <w:p w14:paraId="50AEFC15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36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42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0</w:t>
            </w:r>
          </w:p>
        </w:tc>
        <w:tc>
          <w:tcPr>
            <w:tcW w:w="2864" w:type="dxa"/>
          </w:tcPr>
          <w:p w14:paraId="640980C0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1 + ¾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  <w:tr w:rsidR="00071D58" w:rsidRPr="00141A43" w14:paraId="5A6425E6" w14:textId="77777777" w:rsidTr="00A327C4">
        <w:tc>
          <w:tcPr>
            <w:tcW w:w="1984" w:type="dxa"/>
          </w:tcPr>
          <w:p w14:paraId="3A7D7FBA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42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48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0</w:t>
            </w:r>
          </w:p>
        </w:tc>
        <w:tc>
          <w:tcPr>
            <w:tcW w:w="2864" w:type="dxa"/>
          </w:tcPr>
          <w:p w14:paraId="7B99E7F2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2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</w:tbl>
    <w:p w14:paraId="4F0ED37A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6D3D0E1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• Pro dávkování 5,5 mg/kg</w:t>
      </w:r>
    </w:p>
    <w:p w14:paraId="07010E40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4"/>
        <w:gridCol w:w="2864"/>
      </w:tblGrid>
      <w:tr w:rsidR="00071D58" w:rsidRPr="00141A43" w14:paraId="2581AF2E" w14:textId="77777777" w:rsidTr="00A327C4">
        <w:tc>
          <w:tcPr>
            <w:tcW w:w="1984" w:type="dxa"/>
          </w:tcPr>
          <w:p w14:paraId="4E8C5DCE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b/>
                <w:bCs/>
                <w:szCs w:val="22"/>
              </w:rPr>
              <w:t>Hmotnost</w:t>
            </w:r>
            <w:r w:rsidRPr="00141A43">
              <w:rPr>
                <w:szCs w:val="22"/>
              </w:rPr>
              <w:t xml:space="preserve"> </w:t>
            </w:r>
            <w:r w:rsidRPr="00141A43">
              <w:rPr>
                <w:b/>
                <w:bCs/>
                <w:szCs w:val="22"/>
              </w:rPr>
              <w:t>(kg)</w:t>
            </w:r>
          </w:p>
        </w:tc>
        <w:tc>
          <w:tcPr>
            <w:tcW w:w="2864" w:type="dxa"/>
          </w:tcPr>
          <w:p w14:paraId="79F77648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b/>
                <w:bCs/>
                <w:szCs w:val="22"/>
              </w:rPr>
              <w:t>Počet podávaných tablet</w:t>
            </w:r>
          </w:p>
        </w:tc>
      </w:tr>
      <w:tr w:rsidR="00071D58" w:rsidRPr="00141A43" w14:paraId="79BEBBC7" w14:textId="77777777" w:rsidTr="00A327C4">
        <w:tc>
          <w:tcPr>
            <w:tcW w:w="1984" w:type="dxa"/>
          </w:tcPr>
          <w:p w14:paraId="7B2A3779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5 – 6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0</w:t>
            </w:r>
          </w:p>
        </w:tc>
        <w:tc>
          <w:tcPr>
            <w:tcW w:w="2864" w:type="dxa"/>
          </w:tcPr>
          <w:p w14:paraId="1D9F0CE7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použijte </w:t>
            </w:r>
            <w:proofErr w:type="spellStart"/>
            <w:r w:rsidRPr="00141A43">
              <w:rPr>
                <w:szCs w:val="22"/>
              </w:rPr>
              <w:t>Zodon</w:t>
            </w:r>
            <w:proofErr w:type="spellEnd"/>
            <w:r w:rsidRPr="00141A43">
              <w:rPr>
                <w:szCs w:val="22"/>
              </w:rPr>
              <w:t xml:space="preserve"> 88 mg</w:t>
            </w:r>
          </w:p>
        </w:tc>
      </w:tr>
      <w:tr w:rsidR="00071D58" w:rsidRPr="00141A43" w14:paraId="4DDE6D3F" w14:textId="77777777" w:rsidTr="00A327C4">
        <w:tc>
          <w:tcPr>
            <w:tcW w:w="1984" w:type="dxa"/>
          </w:tcPr>
          <w:p w14:paraId="2536B489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6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12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0</w:t>
            </w:r>
          </w:p>
        </w:tc>
        <w:tc>
          <w:tcPr>
            <w:tcW w:w="2864" w:type="dxa"/>
          </w:tcPr>
          <w:p w14:paraId="3EB8AD55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¼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  <w:tr w:rsidR="00071D58" w:rsidRPr="00141A43" w14:paraId="6A9ED380" w14:textId="77777777" w:rsidTr="00A327C4">
        <w:tc>
          <w:tcPr>
            <w:tcW w:w="1984" w:type="dxa"/>
          </w:tcPr>
          <w:p w14:paraId="6911DBC8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lastRenderedPageBreak/>
              <w:t>12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24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 xml:space="preserve">0 </w:t>
            </w:r>
          </w:p>
        </w:tc>
        <w:tc>
          <w:tcPr>
            <w:tcW w:w="2864" w:type="dxa"/>
          </w:tcPr>
          <w:p w14:paraId="6D2975F3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½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  <w:tr w:rsidR="00071D58" w:rsidRPr="00141A43" w14:paraId="3C831602" w14:textId="77777777" w:rsidTr="00A327C4">
        <w:tc>
          <w:tcPr>
            <w:tcW w:w="1984" w:type="dxa"/>
          </w:tcPr>
          <w:p w14:paraId="6A24C8D0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24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36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0</w:t>
            </w:r>
          </w:p>
        </w:tc>
        <w:tc>
          <w:tcPr>
            <w:tcW w:w="2864" w:type="dxa"/>
          </w:tcPr>
          <w:p w14:paraId="2038C24F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¾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  <w:tr w:rsidR="00071D58" w:rsidRPr="00141A43" w14:paraId="7E0908BC" w14:textId="77777777" w:rsidTr="00A327C4">
        <w:tc>
          <w:tcPr>
            <w:tcW w:w="1984" w:type="dxa"/>
          </w:tcPr>
          <w:p w14:paraId="0BF0253E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36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48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0</w:t>
            </w:r>
          </w:p>
        </w:tc>
        <w:tc>
          <w:tcPr>
            <w:tcW w:w="2864" w:type="dxa"/>
          </w:tcPr>
          <w:p w14:paraId="16D17F30" w14:textId="77777777" w:rsidR="00071D58" w:rsidRPr="00141A43" w:rsidRDefault="00071D58" w:rsidP="00A327C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1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</w:tbl>
    <w:p w14:paraId="3BA10C42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2C601279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 xml:space="preserve">Pro zajištění správného dávkování </w:t>
      </w:r>
      <w:r w:rsidRPr="00141A43">
        <w:t>je třeba co nejpřesněji stanovit živou hmotnost.</w:t>
      </w:r>
    </w:p>
    <w:p w14:paraId="7CB18545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Tablety jsou ochucené. Mohou být podávány přímo do dutiny ústní zvířete nebo s malým množstvím</w:t>
      </w:r>
    </w:p>
    <w:p w14:paraId="415295B0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potravy.</w:t>
      </w:r>
    </w:p>
    <w:p w14:paraId="184550E4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Pokyny k dělení tablet: Položte tabletu na rovný povrch stranou s rýhou dolů k povrchu (konvexní</w:t>
      </w:r>
    </w:p>
    <w:p w14:paraId="363CE709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stranou nahoru). Lehkým vertikálním tlakem špičkou ukazováčku na střed tablety rozlomíte tabletu po</w:t>
      </w:r>
    </w:p>
    <w:p w14:paraId="5978248D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šířce na dvě poloviny. Chcete-li tabletu rozdělit na čtvrtiny, lehkým tlakem ukazováčku na střed jedné</w:t>
      </w:r>
    </w:p>
    <w:p w14:paraId="711F1EB8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poloviny ji rozlomíte na dvě části.</w:t>
      </w:r>
    </w:p>
    <w:p w14:paraId="51EA6F74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29C2A3A9" w14:textId="77777777" w:rsidR="00071D58" w:rsidRPr="00141A43" w:rsidRDefault="00071D58" w:rsidP="00071D58">
      <w:pPr>
        <w:pStyle w:val="Style1"/>
      </w:pPr>
      <w:r w:rsidRPr="00141A43">
        <w:t>3.10</w:t>
      </w:r>
      <w:r w:rsidRPr="00141A43">
        <w:tab/>
        <w:t xml:space="preserve">Příznaky předávkování (a kde je relevantní, první pomoc a </w:t>
      </w:r>
      <w:proofErr w:type="spellStart"/>
      <w:r w:rsidRPr="00141A43">
        <w:t>antidota</w:t>
      </w:r>
      <w:proofErr w:type="spellEnd"/>
      <w:r w:rsidRPr="00141A43">
        <w:t xml:space="preserve">) </w:t>
      </w:r>
    </w:p>
    <w:p w14:paraId="2B0D612A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B5548C6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 xml:space="preserve">U psů, perorální dávky </w:t>
      </w:r>
      <w:proofErr w:type="spellStart"/>
      <w:r w:rsidRPr="00141A43">
        <w:rPr>
          <w:szCs w:val="22"/>
        </w:rPr>
        <w:t>klindamycinu</w:t>
      </w:r>
      <w:proofErr w:type="spellEnd"/>
      <w:r w:rsidRPr="00141A43">
        <w:rPr>
          <w:szCs w:val="22"/>
        </w:rPr>
        <w:t xml:space="preserve"> až do 300 mg/kg/den nevedly k toxicitě. U psů, kterým bylo</w:t>
      </w:r>
    </w:p>
    <w:p w14:paraId="51D59677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 xml:space="preserve">podáváno 600 mg/kg/den </w:t>
      </w:r>
      <w:proofErr w:type="spellStart"/>
      <w:r w:rsidRPr="00141A43">
        <w:rPr>
          <w:szCs w:val="22"/>
        </w:rPr>
        <w:t>klindamycinu</w:t>
      </w:r>
      <w:proofErr w:type="spellEnd"/>
      <w:r w:rsidRPr="00141A43">
        <w:rPr>
          <w:szCs w:val="22"/>
        </w:rPr>
        <w:t xml:space="preserve"> se rozvinuly příznaky anorexie, zvracení a úbytky hmotnosti.</w:t>
      </w:r>
    </w:p>
    <w:p w14:paraId="09FA3876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AF3C18">
        <w:rPr>
          <w:szCs w:val="22"/>
        </w:rPr>
        <w:t>V případě předávkování je nutné okamžitě ukončit léčbu a zahájit symptomatickou terapii.</w:t>
      </w:r>
    </w:p>
    <w:p w14:paraId="5F54C98D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2C51963" w14:textId="77777777" w:rsidR="00071D58" w:rsidRPr="00141A43" w:rsidRDefault="00071D58" w:rsidP="00071D58">
      <w:pPr>
        <w:pStyle w:val="Style1"/>
      </w:pPr>
      <w:r w:rsidRPr="00141A43">
        <w:t>3.11</w:t>
      </w:r>
      <w:r w:rsidRPr="00141A43">
        <w:tab/>
        <w:t xml:space="preserve">Zvláštní omezení pro použití a zvláštní podmínky pro použití, včetně omezení používání antimikrobních a </w:t>
      </w:r>
      <w:proofErr w:type="spellStart"/>
      <w:r w:rsidRPr="00141A43">
        <w:t>antiparazitárních</w:t>
      </w:r>
      <w:proofErr w:type="spellEnd"/>
      <w:r w:rsidRPr="00141A43">
        <w:t xml:space="preserve"> veterinárních léčivých přípravků, za účelem snížení rizika rozvoje rezistence</w:t>
      </w:r>
    </w:p>
    <w:p w14:paraId="6E6BCBC5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875387B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t>Neuplatňuje se.</w:t>
      </w:r>
    </w:p>
    <w:p w14:paraId="0404A087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08F065A" w14:textId="77777777" w:rsidR="00071D58" w:rsidRPr="00141A43" w:rsidRDefault="00071D58" w:rsidP="00071D58">
      <w:pPr>
        <w:pStyle w:val="Style1"/>
      </w:pPr>
      <w:r w:rsidRPr="00141A43">
        <w:t>3.12</w:t>
      </w:r>
      <w:r w:rsidRPr="00141A43">
        <w:tab/>
        <w:t>Ochranné lhůty</w:t>
      </w:r>
    </w:p>
    <w:p w14:paraId="49F38416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E1F0E38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t>Neuplatňuje se.</w:t>
      </w:r>
    </w:p>
    <w:p w14:paraId="28714619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C9AF910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0519556" w14:textId="77777777" w:rsidR="00071D58" w:rsidRPr="00141A43" w:rsidRDefault="00071D58" w:rsidP="00071D58">
      <w:pPr>
        <w:pStyle w:val="Style1"/>
        <w:keepNext/>
      </w:pPr>
      <w:r w:rsidRPr="00141A43">
        <w:t>4.</w:t>
      </w:r>
      <w:r w:rsidRPr="00141A43">
        <w:tab/>
        <w:t>FARMAKOLOGICKÉ INFORMACE</w:t>
      </w:r>
    </w:p>
    <w:p w14:paraId="54DAB266" w14:textId="77777777" w:rsidR="00071D58" w:rsidRPr="00141A43" w:rsidRDefault="00071D58" w:rsidP="00071D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4FAC8B2" w14:textId="77777777" w:rsidR="00071D58" w:rsidRPr="00141A43" w:rsidRDefault="00071D58" w:rsidP="00071D58">
      <w:pPr>
        <w:pStyle w:val="Style1"/>
        <w:keepNext/>
      </w:pPr>
      <w:r w:rsidRPr="00141A43">
        <w:t>4.1</w:t>
      </w:r>
      <w:r w:rsidRPr="00141A43">
        <w:tab/>
      </w:r>
      <w:proofErr w:type="spellStart"/>
      <w:r w:rsidRPr="00141A43">
        <w:t>ATCvet</w:t>
      </w:r>
      <w:proofErr w:type="spellEnd"/>
      <w:r w:rsidRPr="00141A43">
        <w:t xml:space="preserve"> kód: </w:t>
      </w:r>
      <w:r w:rsidRPr="00141A43">
        <w:rPr>
          <w:b w:val="0"/>
        </w:rPr>
        <w:t>QJ01FF01</w:t>
      </w:r>
    </w:p>
    <w:p w14:paraId="03F2547F" w14:textId="77777777" w:rsidR="00071D58" w:rsidRPr="00141A43" w:rsidRDefault="00071D58" w:rsidP="00071D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2A03AF9" w14:textId="77777777" w:rsidR="00071D58" w:rsidRPr="00141A43" w:rsidRDefault="00071D58" w:rsidP="00071D58">
      <w:pPr>
        <w:pStyle w:val="Style1"/>
        <w:keepNext/>
      </w:pPr>
      <w:r w:rsidRPr="00141A43">
        <w:t>4.2</w:t>
      </w:r>
      <w:r w:rsidRPr="00141A43">
        <w:tab/>
        <w:t>Farmakodynamika</w:t>
      </w:r>
    </w:p>
    <w:p w14:paraId="580303B9" w14:textId="77777777" w:rsidR="00071D58" w:rsidRPr="00141A43" w:rsidRDefault="00071D58" w:rsidP="00071D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6B2C2EE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41A43">
        <w:rPr>
          <w:szCs w:val="22"/>
          <w:u w:val="single"/>
        </w:rPr>
        <w:t>Mechanismus účinku</w:t>
      </w:r>
    </w:p>
    <w:p w14:paraId="12ECCC1A" w14:textId="77777777" w:rsidR="00071D58" w:rsidRPr="00141A43" w:rsidRDefault="00071D58" w:rsidP="00071D5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141A43">
        <w:rPr>
          <w:szCs w:val="22"/>
        </w:rPr>
        <w:t>Klindamycin</w:t>
      </w:r>
      <w:proofErr w:type="spellEnd"/>
      <w:r w:rsidRPr="00141A43">
        <w:rPr>
          <w:szCs w:val="22"/>
        </w:rPr>
        <w:t xml:space="preserve"> je </w:t>
      </w:r>
      <w:proofErr w:type="spellStart"/>
      <w:r w:rsidRPr="00141A43">
        <w:rPr>
          <w:szCs w:val="22"/>
        </w:rPr>
        <w:t>semi</w:t>
      </w:r>
      <w:proofErr w:type="spellEnd"/>
      <w:r w:rsidRPr="00141A43">
        <w:rPr>
          <w:szCs w:val="22"/>
        </w:rPr>
        <w:t xml:space="preserve">-syntetické antibiotikum </w:t>
      </w:r>
      <w:r>
        <w:rPr>
          <w:szCs w:val="22"/>
        </w:rPr>
        <w:t>vyráběné</w:t>
      </w:r>
      <w:r w:rsidRPr="00141A43">
        <w:rPr>
          <w:szCs w:val="22"/>
        </w:rPr>
        <w:t xml:space="preserve"> 7 (S)-chlor substitucí 7 (R)-</w:t>
      </w:r>
      <w:proofErr w:type="spellStart"/>
      <w:r w:rsidRPr="00141A43">
        <w:rPr>
          <w:szCs w:val="22"/>
        </w:rPr>
        <w:t>hydroxy</w:t>
      </w:r>
      <w:proofErr w:type="spellEnd"/>
      <w:r w:rsidRPr="00141A43">
        <w:rPr>
          <w:szCs w:val="22"/>
        </w:rPr>
        <w:t xml:space="preserve"> skupiny přírodních antibiotik produkovaných </w:t>
      </w:r>
      <w:proofErr w:type="spellStart"/>
      <w:r w:rsidRPr="00946F62">
        <w:rPr>
          <w:i/>
          <w:szCs w:val="22"/>
        </w:rPr>
        <w:t>Streptomyces</w:t>
      </w:r>
      <w:proofErr w:type="spellEnd"/>
      <w:r w:rsidRPr="00946F62">
        <w:rPr>
          <w:i/>
          <w:szCs w:val="22"/>
        </w:rPr>
        <w:t xml:space="preserve"> </w:t>
      </w:r>
      <w:proofErr w:type="spellStart"/>
      <w:r w:rsidRPr="00946F62">
        <w:rPr>
          <w:i/>
          <w:szCs w:val="22"/>
        </w:rPr>
        <w:t>lincolnensis</w:t>
      </w:r>
      <w:proofErr w:type="spellEnd"/>
      <w:r w:rsidRPr="00141A43">
        <w:rPr>
          <w:szCs w:val="22"/>
        </w:rPr>
        <w:t xml:space="preserve"> var</w:t>
      </w:r>
      <w:r w:rsidRPr="00AF3C18">
        <w:rPr>
          <w:szCs w:val="22"/>
        </w:rPr>
        <w:t>.</w:t>
      </w:r>
      <w:r w:rsidRPr="00946F62">
        <w:rPr>
          <w:i/>
          <w:szCs w:val="22"/>
        </w:rPr>
        <w:t xml:space="preserve"> </w:t>
      </w:r>
      <w:proofErr w:type="spellStart"/>
      <w:r w:rsidRPr="00946F62">
        <w:rPr>
          <w:i/>
          <w:szCs w:val="22"/>
        </w:rPr>
        <w:t>lincolnensis</w:t>
      </w:r>
      <w:proofErr w:type="spellEnd"/>
      <w:r w:rsidRPr="00141A43">
        <w:rPr>
          <w:szCs w:val="22"/>
        </w:rPr>
        <w:t>.</w:t>
      </w:r>
    </w:p>
    <w:p w14:paraId="215EB84C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9D0ED96" w14:textId="77777777" w:rsidR="00071D58" w:rsidRPr="00141A43" w:rsidRDefault="00071D58" w:rsidP="00071D5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AF3C18">
        <w:rPr>
          <w:szCs w:val="22"/>
        </w:rPr>
        <w:t>Klindamycin</w:t>
      </w:r>
      <w:proofErr w:type="spellEnd"/>
      <w:r w:rsidRPr="00AF3C18">
        <w:rPr>
          <w:szCs w:val="22"/>
        </w:rPr>
        <w:t xml:space="preserve"> působí bakteriostatickým mechanismem účinku, při kterém narušuje syntézu bílkovin uvnitř bakteriální buňky, čímž inhibuje růst a množení bakterií. </w:t>
      </w:r>
      <w:proofErr w:type="spellStart"/>
      <w:r w:rsidRPr="00AF3C18">
        <w:rPr>
          <w:szCs w:val="22"/>
        </w:rPr>
        <w:t>Klindamycin</w:t>
      </w:r>
      <w:proofErr w:type="spellEnd"/>
      <w:r w:rsidRPr="00AF3C18">
        <w:rPr>
          <w:szCs w:val="22"/>
        </w:rPr>
        <w:t xml:space="preserve"> se váže na </w:t>
      </w:r>
      <w:proofErr w:type="gramStart"/>
      <w:r w:rsidRPr="00AF3C18">
        <w:rPr>
          <w:szCs w:val="22"/>
        </w:rPr>
        <w:t>23S</w:t>
      </w:r>
      <w:proofErr w:type="gramEnd"/>
      <w:r w:rsidRPr="00AF3C18">
        <w:rPr>
          <w:szCs w:val="22"/>
        </w:rPr>
        <w:t xml:space="preserve"> ribozomální RNA součásti 50S podjednotky ribozomu. Tímto dochází k blokování vazby aminokyselin na ribozomy</w:t>
      </w:r>
      <w:r>
        <w:rPr>
          <w:szCs w:val="22"/>
        </w:rPr>
        <w:t xml:space="preserve">, </w:t>
      </w:r>
      <w:r w:rsidRPr="0069426A">
        <w:rPr>
          <w:szCs w:val="22"/>
        </w:rPr>
        <w:t>v důsledku čehož je</w:t>
      </w:r>
      <w:r>
        <w:rPr>
          <w:szCs w:val="22"/>
        </w:rPr>
        <w:t xml:space="preserve"> </w:t>
      </w:r>
      <w:r w:rsidRPr="0069426A">
        <w:rPr>
          <w:szCs w:val="22"/>
        </w:rPr>
        <w:t>inhibována tvorba peptidových vazeb</w:t>
      </w:r>
      <w:r w:rsidRPr="00AF3C18">
        <w:rPr>
          <w:szCs w:val="22"/>
        </w:rPr>
        <w:t xml:space="preserve">. Vazebná místa ribozomu jsou blízká </w:t>
      </w:r>
      <w:r>
        <w:rPr>
          <w:szCs w:val="22"/>
        </w:rPr>
        <w:t>těm</w:t>
      </w:r>
      <w:r w:rsidRPr="00AF3C18">
        <w:rPr>
          <w:szCs w:val="22"/>
        </w:rPr>
        <w:t xml:space="preserve">, na která se vážou </w:t>
      </w:r>
      <w:proofErr w:type="spellStart"/>
      <w:r w:rsidRPr="00AF3C18">
        <w:rPr>
          <w:szCs w:val="22"/>
        </w:rPr>
        <w:t>makrolidy</w:t>
      </w:r>
      <w:proofErr w:type="spellEnd"/>
      <w:r w:rsidRPr="00AF3C18">
        <w:rPr>
          <w:szCs w:val="22"/>
        </w:rPr>
        <w:t xml:space="preserve">, </w:t>
      </w:r>
      <w:proofErr w:type="spellStart"/>
      <w:r w:rsidRPr="00AF3C18">
        <w:rPr>
          <w:szCs w:val="22"/>
        </w:rPr>
        <w:t>streptograminy</w:t>
      </w:r>
      <w:proofErr w:type="spellEnd"/>
      <w:r w:rsidRPr="00AF3C18">
        <w:rPr>
          <w:szCs w:val="22"/>
        </w:rPr>
        <w:t xml:space="preserve"> nebo chloramfenikol.</w:t>
      </w:r>
    </w:p>
    <w:p w14:paraId="6F37733F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D4D3D56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41A43">
        <w:rPr>
          <w:szCs w:val="22"/>
          <w:u w:val="single"/>
        </w:rPr>
        <w:t>Antibakteriální spektrum</w:t>
      </w:r>
    </w:p>
    <w:p w14:paraId="5736D30C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1A43">
        <w:rPr>
          <w:szCs w:val="22"/>
        </w:rPr>
        <w:t>Klindamycin</w:t>
      </w:r>
      <w:proofErr w:type="spellEnd"/>
      <w:r w:rsidRPr="00141A43">
        <w:rPr>
          <w:szCs w:val="22"/>
        </w:rPr>
        <w:t xml:space="preserve"> je léčivá látka se středně širokým spektrem účinku.</w:t>
      </w:r>
    </w:p>
    <w:p w14:paraId="6D4B6626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09AA423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Citlivé mikroorganizmy (C):</w:t>
      </w:r>
    </w:p>
    <w:p w14:paraId="47978E95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1A43">
        <w:rPr>
          <w:szCs w:val="22"/>
        </w:rPr>
        <w:t>Klindamycin</w:t>
      </w:r>
      <w:proofErr w:type="spellEnd"/>
      <w:r w:rsidRPr="00141A43">
        <w:rPr>
          <w:szCs w:val="22"/>
        </w:rPr>
        <w:t xml:space="preserve"> je </w:t>
      </w:r>
      <w:r w:rsidRPr="00141A43">
        <w:rPr>
          <w:i/>
          <w:iCs/>
          <w:szCs w:val="22"/>
        </w:rPr>
        <w:t>in vitro</w:t>
      </w:r>
      <w:r w:rsidRPr="00141A43">
        <w:rPr>
          <w:szCs w:val="22"/>
        </w:rPr>
        <w:t xml:space="preserve"> účinný proti následujícím mikroorganizmům (viz následující MIC):</w:t>
      </w:r>
    </w:p>
    <w:p w14:paraId="1C45C8FE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141A43">
        <w:rPr>
          <w:szCs w:val="22"/>
        </w:rPr>
        <w:t xml:space="preserve">• Aerobní </w:t>
      </w:r>
      <w:proofErr w:type="spellStart"/>
      <w:r w:rsidRPr="00141A43">
        <w:rPr>
          <w:szCs w:val="22"/>
        </w:rPr>
        <w:t>grampozitivní</w:t>
      </w:r>
      <w:proofErr w:type="spellEnd"/>
      <w:r w:rsidRPr="00141A43">
        <w:rPr>
          <w:szCs w:val="22"/>
        </w:rPr>
        <w:t xml:space="preserve"> koky včetně: </w:t>
      </w:r>
      <w:proofErr w:type="spellStart"/>
      <w:r w:rsidRPr="00141A43">
        <w:rPr>
          <w:i/>
          <w:iCs/>
          <w:szCs w:val="22"/>
        </w:rPr>
        <w:t>Staphylococcus</w:t>
      </w:r>
      <w:proofErr w:type="spellEnd"/>
      <w:r w:rsidRPr="00141A43">
        <w:rPr>
          <w:i/>
          <w:iCs/>
          <w:szCs w:val="22"/>
        </w:rPr>
        <w:t xml:space="preserve"> aureus </w:t>
      </w:r>
      <w:r w:rsidRPr="00141A43">
        <w:rPr>
          <w:szCs w:val="22"/>
        </w:rPr>
        <w:t xml:space="preserve">a </w:t>
      </w:r>
      <w:proofErr w:type="spellStart"/>
      <w:r w:rsidRPr="00141A43">
        <w:rPr>
          <w:i/>
          <w:iCs/>
          <w:szCs w:val="22"/>
        </w:rPr>
        <w:t>Staphylococcus</w:t>
      </w:r>
      <w:proofErr w:type="spellEnd"/>
    </w:p>
    <w:p w14:paraId="3C3C7591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1A43">
        <w:rPr>
          <w:i/>
          <w:iCs/>
          <w:szCs w:val="22"/>
        </w:rPr>
        <w:t>pseudintermedius</w:t>
      </w:r>
      <w:proofErr w:type="spellEnd"/>
      <w:r w:rsidRPr="00141A43">
        <w:rPr>
          <w:i/>
          <w:iCs/>
          <w:szCs w:val="22"/>
        </w:rPr>
        <w:t xml:space="preserve"> </w:t>
      </w:r>
      <w:r w:rsidRPr="00141A43">
        <w:rPr>
          <w:szCs w:val="22"/>
        </w:rPr>
        <w:t>(</w:t>
      </w:r>
      <w:proofErr w:type="spellStart"/>
      <w:r w:rsidRPr="00141A43">
        <w:rPr>
          <w:szCs w:val="22"/>
        </w:rPr>
        <w:t>penicilináza</w:t>
      </w:r>
      <w:proofErr w:type="spellEnd"/>
      <w:r w:rsidRPr="00141A43">
        <w:rPr>
          <w:szCs w:val="22"/>
        </w:rPr>
        <w:t xml:space="preserve"> pozitivní i negativní kmeny), </w:t>
      </w:r>
      <w:proofErr w:type="spellStart"/>
      <w:r w:rsidRPr="00141A43">
        <w:rPr>
          <w:i/>
          <w:iCs/>
          <w:szCs w:val="22"/>
        </w:rPr>
        <w:t>Streptococcus</w:t>
      </w:r>
      <w:proofErr w:type="spellEnd"/>
      <w:r w:rsidRPr="00141A43">
        <w:rPr>
          <w:i/>
          <w:iCs/>
          <w:szCs w:val="22"/>
        </w:rPr>
        <w:t xml:space="preserve"> </w:t>
      </w:r>
      <w:proofErr w:type="spellStart"/>
      <w:r w:rsidRPr="00141A43">
        <w:rPr>
          <w:szCs w:val="22"/>
        </w:rPr>
        <w:t>spp</w:t>
      </w:r>
      <w:proofErr w:type="spellEnd"/>
      <w:r w:rsidRPr="00141A43">
        <w:rPr>
          <w:szCs w:val="22"/>
        </w:rPr>
        <w:t>. (s výjimkou</w:t>
      </w:r>
    </w:p>
    <w:p w14:paraId="7677057A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1A43">
        <w:rPr>
          <w:i/>
          <w:iCs/>
          <w:szCs w:val="22"/>
        </w:rPr>
        <w:t>Enterococcus</w:t>
      </w:r>
      <w:proofErr w:type="spellEnd"/>
      <w:r w:rsidRPr="00141A43">
        <w:rPr>
          <w:i/>
          <w:iCs/>
          <w:szCs w:val="22"/>
        </w:rPr>
        <w:t xml:space="preserve"> </w:t>
      </w:r>
      <w:proofErr w:type="spellStart"/>
      <w:r w:rsidRPr="00141A43">
        <w:rPr>
          <w:i/>
          <w:iCs/>
          <w:szCs w:val="22"/>
        </w:rPr>
        <w:t>faecalis</w:t>
      </w:r>
      <w:proofErr w:type="spellEnd"/>
      <w:r w:rsidRPr="00141A43">
        <w:rPr>
          <w:szCs w:val="22"/>
        </w:rPr>
        <w:t>).</w:t>
      </w:r>
    </w:p>
    <w:p w14:paraId="4F1A164D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141A43">
        <w:rPr>
          <w:szCs w:val="22"/>
        </w:rPr>
        <w:t xml:space="preserve">• Anaerobní gramnegativní tyčinky včetně: </w:t>
      </w:r>
      <w:proofErr w:type="spellStart"/>
      <w:r w:rsidRPr="00141A43">
        <w:rPr>
          <w:i/>
          <w:iCs/>
          <w:szCs w:val="22"/>
        </w:rPr>
        <w:t>Bacteroides</w:t>
      </w:r>
      <w:proofErr w:type="spellEnd"/>
      <w:r w:rsidRPr="00141A43">
        <w:rPr>
          <w:i/>
          <w:iCs/>
          <w:szCs w:val="22"/>
        </w:rPr>
        <w:t xml:space="preserve"> </w:t>
      </w:r>
      <w:proofErr w:type="spellStart"/>
      <w:r w:rsidRPr="00141A43">
        <w:rPr>
          <w:szCs w:val="22"/>
        </w:rPr>
        <w:t>spp</w:t>
      </w:r>
      <w:proofErr w:type="spellEnd"/>
      <w:r w:rsidRPr="00141A43">
        <w:rPr>
          <w:szCs w:val="22"/>
        </w:rPr>
        <w:t xml:space="preserve">., </w:t>
      </w:r>
      <w:proofErr w:type="spellStart"/>
      <w:r w:rsidRPr="00141A43">
        <w:rPr>
          <w:i/>
          <w:iCs/>
          <w:szCs w:val="22"/>
        </w:rPr>
        <w:t>Fusobacterium</w:t>
      </w:r>
      <w:proofErr w:type="spellEnd"/>
      <w:r w:rsidRPr="00141A43">
        <w:rPr>
          <w:i/>
          <w:iCs/>
          <w:szCs w:val="22"/>
        </w:rPr>
        <w:t xml:space="preserve"> </w:t>
      </w:r>
      <w:proofErr w:type="spellStart"/>
      <w:r w:rsidRPr="00141A43">
        <w:rPr>
          <w:i/>
          <w:iCs/>
          <w:szCs w:val="22"/>
        </w:rPr>
        <w:t>necrophorum</w:t>
      </w:r>
      <w:proofErr w:type="spellEnd"/>
      <w:r w:rsidRPr="00141A43">
        <w:rPr>
          <w:i/>
          <w:iCs/>
          <w:szCs w:val="22"/>
        </w:rPr>
        <w:t>.</w:t>
      </w:r>
    </w:p>
    <w:p w14:paraId="36D660EA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 xml:space="preserve">• Klostridia: většina kmenů </w:t>
      </w:r>
      <w:r w:rsidRPr="00141A43">
        <w:rPr>
          <w:i/>
          <w:iCs/>
          <w:szCs w:val="22"/>
        </w:rPr>
        <w:t xml:space="preserve">Clostridium </w:t>
      </w:r>
      <w:proofErr w:type="spellStart"/>
      <w:r w:rsidRPr="00141A43">
        <w:rPr>
          <w:i/>
          <w:iCs/>
          <w:szCs w:val="22"/>
        </w:rPr>
        <w:t>perfringens</w:t>
      </w:r>
      <w:proofErr w:type="spellEnd"/>
      <w:r w:rsidRPr="00141A43">
        <w:rPr>
          <w:i/>
          <w:iCs/>
          <w:szCs w:val="22"/>
        </w:rPr>
        <w:t xml:space="preserve"> </w:t>
      </w:r>
      <w:r w:rsidRPr="00141A43">
        <w:rPr>
          <w:szCs w:val="22"/>
        </w:rPr>
        <w:t>je citlivá.</w:t>
      </w:r>
    </w:p>
    <w:p w14:paraId="5950BBC9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940F281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41A43">
        <w:rPr>
          <w:szCs w:val="22"/>
          <w:u w:val="single"/>
        </w:rPr>
        <w:t>Údaje o MIC</w:t>
      </w:r>
    </w:p>
    <w:p w14:paraId="1BA3E23B" w14:textId="77777777" w:rsidR="00071D58" w:rsidRPr="00141A43" w:rsidRDefault="00071D58" w:rsidP="00071D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43">
        <w:rPr>
          <w:szCs w:val="22"/>
        </w:rPr>
        <w:lastRenderedPageBreak/>
        <w:t xml:space="preserve">Jsou dostupné veterinární hraniční hodnoty (CLSI) </w:t>
      </w:r>
      <w:proofErr w:type="spellStart"/>
      <w:r w:rsidRPr="00141A43">
        <w:rPr>
          <w:szCs w:val="22"/>
        </w:rPr>
        <w:t>klindamycinu</w:t>
      </w:r>
      <w:proofErr w:type="spellEnd"/>
      <w:r w:rsidRPr="00141A43">
        <w:rPr>
          <w:szCs w:val="22"/>
        </w:rPr>
        <w:t xml:space="preserve"> pro psy pro infekce kůže a infekce měkkých tkání </w:t>
      </w:r>
      <w:r>
        <w:rPr>
          <w:szCs w:val="22"/>
        </w:rPr>
        <w:t>vyvolané</w:t>
      </w:r>
      <w:r w:rsidRPr="00141A43">
        <w:rPr>
          <w:szCs w:val="22"/>
        </w:rPr>
        <w:t xml:space="preserve"> </w:t>
      </w:r>
      <w:proofErr w:type="spellStart"/>
      <w:r w:rsidRPr="00141A43">
        <w:rPr>
          <w:i/>
          <w:iCs/>
          <w:szCs w:val="22"/>
        </w:rPr>
        <w:t>Staphylococcus</w:t>
      </w:r>
      <w:proofErr w:type="spellEnd"/>
      <w:r w:rsidRPr="00141A43">
        <w:rPr>
          <w:i/>
          <w:iCs/>
          <w:szCs w:val="22"/>
        </w:rPr>
        <w:t xml:space="preserve"> </w:t>
      </w:r>
      <w:proofErr w:type="spellStart"/>
      <w:r w:rsidRPr="00141A43">
        <w:rPr>
          <w:szCs w:val="22"/>
        </w:rPr>
        <w:t>spp</w:t>
      </w:r>
      <w:proofErr w:type="spellEnd"/>
      <w:r w:rsidRPr="00141A43">
        <w:rPr>
          <w:szCs w:val="22"/>
        </w:rPr>
        <w:t xml:space="preserve">. a beta-hemolytickými streptokoky: C ≤ 0,5 </w:t>
      </w:r>
      <w:proofErr w:type="spellStart"/>
      <w:r w:rsidRPr="00141A43">
        <w:rPr>
          <w:szCs w:val="22"/>
        </w:rPr>
        <w:t>μg</w:t>
      </w:r>
      <w:proofErr w:type="spellEnd"/>
      <w:r w:rsidRPr="00141A43">
        <w:rPr>
          <w:szCs w:val="22"/>
        </w:rPr>
        <w:t xml:space="preserve">/ml; I = 1-2 </w:t>
      </w:r>
      <w:proofErr w:type="spellStart"/>
      <w:r w:rsidRPr="00141A43">
        <w:rPr>
          <w:szCs w:val="22"/>
        </w:rPr>
        <w:t>μg</w:t>
      </w:r>
      <w:proofErr w:type="spellEnd"/>
      <w:r w:rsidRPr="00141A43">
        <w:rPr>
          <w:szCs w:val="22"/>
        </w:rPr>
        <w:t xml:space="preserve">/ml; R ≥ 4 </w:t>
      </w:r>
      <w:proofErr w:type="spellStart"/>
      <w:r w:rsidRPr="00141A43">
        <w:rPr>
          <w:szCs w:val="22"/>
        </w:rPr>
        <w:t>μg</w:t>
      </w:r>
      <w:proofErr w:type="spellEnd"/>
      <w:r w:rsidRPr="00141A43">
        <w:rPr>
          <w:szCs w:val="22"/>
        </w:rPr>
        <w:t>/ml. (CLSI, červenec 2013).</w:t>
      </w:r>
    </w:p>
    <w:p w14:paraId="792AC114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83E1FB0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41A43">
        <w:rPr>
          <w:szCs w:val="22"/>
          <w:u w:val="single"/>
        </w:rPr>
        <w:t>Typ a mechanismus rezistence</w:t>
      </w:r>
    </w:p>
    <w:p w14:paraId="025293DC" w14:textId="77777777" w:rsidR="00071D58" w:rsidRPr="00141A43" w:rsidRDefault="00071D58" w:rsidP="00071D5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141A43">
        <w:rPr>
          <w:szCs w:val="22"/>
        </w:rPr>
        <w:t>Klindamycin</w:t>
      </w:r>
      <w:proofErr w:type="spellEnd"/>
      <w:r w:rsidRPr="00141A43">
        <w:rPr>
          <w:szCs w:val="22"/>
        </w:rPr>
        <w:t xml:space="preserve"> patří do </w:t>
      </w:r>
      <w:proofErr w:type="spellStart"/>
      <w:r w:rsidRPr="00141A43">
        <w:rPr>
          <w:szCs w:val="22"/>
        </w:rPr>
        <w:t>linkosamidové</w:t>
      </w:r>
      <w:proofErr w:type="spellEnd"/>
      <w:r w:rsidRPr="00141A43">
        <w:rPr>
          <w:szCs w:val="22"/>
        </w:rPr>
        <w:t xml:space="preserve"> skupiny antibiotik. </w:t>
      </w:r>
      <w:r w:rsidRPr="00AF3C18">
        <w:rPr>
          <w:szCs w:val="22"/>
        </w:rPr>
        <w:t xml:space="preserve">Rezistence se může vyvinout specificky vůči </w:t>
      </w:r>
      <w:proofErr w:type="spellStart"/>
      <w:r w:rsidRPr="00AF3C18">
        <w:rPr>
          <w:szCs w:val="22"/>
        </w:rPr>
        <w:t>linkosamidům</w:t>
      </w:r>
      <w:proofErr w:type="spellEnd"/>
      <w:r w:rsidRPr="00AF3C18">
        <w:rPr>
          <w:szCs w:val="22"/>
        </w:rPr>
        <w:t xml:space="preserve">, častěji však dochází ke zkřížené rezistenci mezi </w:t>
      </w:r>
      <w:proofErr w:type="spellStart"/>
      <w:r w:rsidRPr="00AF3C18">
        <w:rPr>
          <w:szCs w:val="22"/>
        </w:rPr>
        <w:t>makrolidy</w:t>
      </w:r>
      <w:proofErr w:type="spellEnd"/>
      <w:r w:rsidRPr="00AF3C18">
        <w:rPr>
          <w:szCs w:val="22"/>
        </w:rPr>
        <w:t xml:space="preserve">, </w:t>
      </w:r>
      <w:proofErr w:type="spellStart"/>
      <w:r w:rsidRPr="00AF3C18">
        <w:rPr>
          <w:szCs w:val="22"/>
        </w:rPr>
        <w:t>linkosamidy</w:t>
      </w:r>
      <w:proofErr w:type="spellEnd"/>
      <w:r w:rsidRPr="00AF3C18">
        <w:rPr>
          <w:szCs w:val="22"/>
        </w:rPr>
        <w:t xml:space="preserve"> a </w:t>
      </w:r>
      <w:proofErr w:type="spellStart"/>
      <w:r w:rsidRPr="00AF3C18">
        <w:rPr>
          <w:szCs w:val="22"/>
        </w:rPr>
        <w:t>streptograminy</w:t>
      </w:r>
      <w:proofErr w:type="spellEnd"/>
      <w:r w:rsidRPr="00AF3C18">
        <w:rPr>
          <w:szCs w:val="22"/>
        </w:rPr>
        <w:t xml:space="preserve"> B (skupina MLSB). Mechanismus rezistence spočívá v metylaci adeninových zbytků v molekule </w:t>
      </w:r>
      <w:proofErr w:type="gramStart"/>
      <w:r w:rsidRPr="00AF3C18">
        <w:rPr>
          <w:szCs w:val="22"/>
        </w:rPr>
        <w:t>23S</w:t>
      </w:r>
      <w:proofErr w:type="gramEnd"/>
      <w:r w:rsidRPr="00AF3C18">
        <w:rPr>
          <w:szCs w:val="22"/>
        </w:rPr>
        <w:t xml:space="preserve"> RNA 50S ribozomální podjednotky, což brání navázání antibiotika na cílové místo.</w:t>
      </w:r>
      <w:r w:rsidRPr="00141A43">
        <w:rPr>
          <w:szCs w:val="22"/>
        </w:rPr>
        <w:t xml:space="preserve"> Různé bakteriální druhy jsou schopny syntetizovat enzym, kódovaný řadou strukturálně příbuzných genů ribozomálních </w:t>
      </w:r>
      <w:proofErr w:type="spellStart"/>
      <w:r w:rsidRPr="00141A43">
        <w:rPr>
          <w:szCs w:val="22"/>
        </w:rPr>
        <w:t>metyláz</w:t>
      </w:r>
      <w:proofErr w:type="spellEnd"/>
      <w:r w:rsidRPr="00141A43">
        <w:rPr>
          <w:szCs w:val="22"/>
        </w:rPr>
        <w:t xml:space="preserve"> (</w:t>
      </w:r>
      <w:proofErr w:type="spellStart"/>
      <w:r w:rsidRPr="00141A43">
        <w:rPr>
          <w:szCs w:val="22"/>
        </w:rPr>
        <w:t>erythromycin</w:t>
      </w:r>
      <w:proofErr w:type="spellEnd"/>
      <w:r w:rsidRPr="00141A43">
        <w:rPr>
          <w:szCs w:val="22"/>
        </w:rPr>
        <w:t xml:space="preserve"> </w:t>
      </w:r>
      <w:proofErr w:type="spellStart"/>
      <w:r w:rsidRPr="00141A43">
        <w:rPr>
          <w:szCs w:val="22"/>
        </w:rPr>
        <w:t>ribosomal</w:t>
      </w:r>
      <w:proofErr w:type="spellEnd"/>
      <w:r w:rsidRPr="00141A43">
        <w:rPr>
          <w:szCs w:val="22"/>
        </w:rPr>
        <w:t xml:space="preserve"> </w:t>
      </w:r>
      <w:proofErr w:type="spellStart"/>
      <w:r w:rsidRPr="00141A43">
        <w:rPr>
          <w:szCs w:val="22"/>
        </w:rPr>
        <w:t>methylase</w:t>
      </w:r>
      <w:proofErr w:type="spellEnd"/>
      <w:r w:rsidRPr="00141A43">
        <w:rPr>
          <w:szCs w:val="22"/>
        </w:rPr>
        <w:t xml:space="preserve"> </w:t>
      </w:r>
      <w:proofErr w:type="spellStart"/>
      <w:r w:rsidRPr="00141A43">
        <w:rPr>
          <w:szCs w:val="22"/>
        </w:rPr>
        <w:t>genes</w:t>
      </w:r>
      <w:proofErr w:type="spellEnd"/>
      <w:r w:rsidRPr="00141A43">
        <w:rPr>
          <w:szCs w:val="22"/>
        </w:rPr>
        <w:t xml:space="preserve"> – </w:t>
      </w:r>
      <w:proofErr w:type="spellStart"/>
      <w:r w:rsidRPr="00141A43">
        <w:rPr>
          <w:i/>
          <w:iCs/>
          <w:szCs w:val="22"/>
        </w:rPr>
        <w:t>erm</w:t>
      </w:r>
      <w:proofErr w:type="spellEnd"/>
      <w:r w:rsidRPr="00141A43">
        <w:rPr>
          <w:szCs w:val="22"/>
        </w:rPr>
        <w:t xml:space="preserve">). V patogenních bakteriích jsou tyto determinanty většinou neseny </w:t>
      </w:r>
      <w:proofErr w:type="spellStart"/>
      <w:r w:rsidRPr="00141A43">
        <w:rPr>
          <w:szCs w:val="22"/>
        </w:rPr>
        <w:t>plazmidy</w:t>
      </w:r>
      <w:proofErr w:type="spellEnd"/>
      <w:r w:rsidRPr="00141A43">
        <w:rPr>
          <w:szCs w:val="22"/>
        </w:rPr>
        <w:t xml:space="preserve"> a </w:t>
      </w:r>
      <w:proofErr w:type="spellStart"/>
      <w:r w:rsidRPr="00141A43">
        <w:rPr>
          <w:szCs w:val="22"/>
        </w:rPr>
        <w:t>transpozony</w:t>
      </w:r>
      <w:proofErr w:type="spellEnd"/>
      <w:r w:rsidRPr="00141A43">
        <w:rPr>
          <w:szCs w:val="22"/>
        </w:rPr>
        <w:t xml:space="preserve">, které jsou </w:t>
      </w:r>
      <w:r>
        <w:rPr>
          <w:szCs w:val="22"/>
        </w:rPr>
        <w:t xml:space="preserve">schopny </w:t>
      </w:r>
      <w:proofErr w:type="spellStart"/>
      <w:r>
        <w:rPr>
          <w:szCs w:val="22"/>
        </w:rPr>
        <w:t>samopřenosu</w:t>
      </w:r>
      <w:proofErr w:type="spellEnd"/>
      <w:r w:rsidRPr="00141A43">
        <w:rPr>
          <w:szCs w:val="22"/>
        </w:rPr>
        <w:t xml:space="preserve"> (</w:t>
      </w:r>
      <w:proofErr w:type="spellStart"/>
      <w:r w:rsidRPr="00141A43">
        <w:rPr>
          <w:szCs w:val="22"/>
        </w:rPr>
        <w:t>selftransferable</w:t>
      </w:r>
      <w:proofErr w:type="spellEnd"/>
      <w:r w:rsidRPr="00141A43">
        <w:rPr>
          <w:szCs w:val="22"/>
        </w:rPr>
        <w:t xml:space="preserve">). Geny </w:t>
      </w:r>
      <w:proofErr w:type="spellStart"/>
      <w:r w:rsidRPr="00141A43">
        <w:rPr>
          <w:i/>
          <w:iCs/>
          <w:szCs w:val="22"/>
        </w:rPr>
        <w:t>erm</w:t>
      </w:r>
      <w:proofErr w:type="spellEnd"/>
      <w:r w:rsidRPr="00141A43">
        <w:rPr>
          <w:i/>
          <w:iCs/>
          <w:szCs w:val="22"/>
        </w:rPr>
        <w:t xml:space="preserve"> </w:t>
      </w:r>
      <w:r w:rsidRPr="00141A43">
        <w:rPr>
          <w:szCs w:val="22"/>
        </w:rPr>
        <w:t xml:space="preserve">se u </w:t>
      </w:r>
      <w:proofErr w:type="spellStart"/>
      <w:r w:rsidRPr="00141A43">
        <w:rPr>
          <w:i/>
          <w:iCs/>
          <w:szCs w:val="22"/>
        </w:rPr>
        <w:t>Staphylococcus</w:t>
      </w:r>
      <w:proofErr w:type="spellEnd"/>
      <w:r w:rsidRPr="00141A43">
        <w:rPr>
          <w:i/>
          <w:iCs/>
          <w:szCs w:val="22"/>
        </w:rPr>
        <w:t xml:space="preserve"> aureus </w:t>
      </w:r>
      <w:r w:rsidRPr="00141A43">
        <w:rPr>
          <w:szCs w:val="22"/>
        </w:rPr>
        <w:t xml:space="preserve">vyskytují převážně jako varianty </w:t>
      </w:r>
      <w:proofErr w:type="spellStart"/>
      <w:r w:rsidRPr="00141A43">
        <w:rPr>
          <w:i/>
          <w:iCs/>
          <w:szCs w:val="22"/>
        </w:rPr>
        <w:t>erm</w:t>
      </w:r>
      <w:proofErr w:type="spellEnd"/>
      <w:r w:rsidRPr="00141A43">
        <w:rPr>
          <w:i/>
          <w:iCs/>
          <w:szCs w:val="22"/>
        </w:rPr>
        <w:t xml:space="preserve"> </w:t>
      </w:r>
      <w:r w:rsidRPr="00141A43">
        <w:rPr>
          <w:szCs w:val="22"/>
        </w:rPr>
        <w:t>(A) a </w:t>
      </w:r>
      <w:proofErr w:type="spellStart"/>
      <w:r w:rsidRPr="00141A43">
        <w:rPr>
          <w:i/>
          <w:iCs/>
          <w:szCs w:val="22"/>
        </w:rPr>
        <w:t>erm</w:t>
      </w:r>
      <w:proofErr w:type="spellEnd"/>
      <w:r w:rsidRPr="00141A43">
        <w:rPr>
          <w:i/>
          <w:iCs/>
          <w:szCs w:val="22"/>
        </w:rPr>
        <w:t xml:space="preserve"> </w:t>
      </w:r>
      <w:r w:rsidRPr="00141A43">
        <w:rPr>
          <w:szCs w:val="22"/>
        </w:rPr>
        <w:t xml:space="preserve">(C) a u </w:t>
      </w:r>
      <w:proofErr w:type="spellStart"/>
      <w:r w:rsidRPr="00141A43">
        <w:rPr>
          <w:i/>
          <w:iCs/>
          <w:szCs w:val="22"/>
        </w:rPr>
        <w:t>Staphylococcus</w:t>
      </w:r>
      <w:proofErr w:type="spellEnd"/>
      <w:r w:rsidRPr="00141A43">
        <w:rPr>
          <w:i/>
          <w:iCs/>
          <w:szCs w:val="22"/>
        </w:rPr>
        <w:t xml:space="preserve"> </w:t>
      </w:r>
      <w:proofErr w:type="spellStart"/>
      <w:r w:rsidRPr="00141A43">
        <w:rPr>
          <w:i/>
          <w:iCs/>
          <w:szCs w:val="22"/>
        </w:rPr>
        <w:t>pseudintermedius</w:t>
      </w:r>
      <w:proofErr w:type="spellEnd"/>
      <w:r w:rsidRPr="00141A43">
        <w:rPr>
          <w:i/>
          <w:iCs/>
          <w:szCs w:val="22"/>
        </w:rPr>
        <w:t xml:space="preserve">, </w:t>
      </w:r>
      <w:r w:rsidRPr="00141A43">
        <w:rPr>
          <w:szCs w:val="22"/>
        </w:rPr>
        <w:t xml:space="preserve">streptokoků a enterokoků jako varianta </w:t>
      </w:r>
      <w:proofErr w:type="spellStart"/>
      <w:r w:rsidRPr="00141A43">
        <w:rPr>
          <w:i/>
          <w:iCs/>
          <w:szCs w:val="22"/>
        </w:rPr>
        <w:t>erm</w:t>
      </w:r>
      <w:proofErr w:type="spellEnd"/>
      <w:r w:rsidRPr="00141A43">
        <w:rPr>
          <w:i/>
          <w:iCs/>
          <w:szCs w:val="22"/>
        </w:rPr>
        <w:t xml:space="preserve"> </w:t>
      </w:r>
      <w:r w:rsidRPr="00141A43">
        <w:rPr>
          <w:szCs w:val="22"/>
        </w:rPr>
        <w:t xml:space="preserve">(B). U bakterií rezistentních na </w:t>
      </w:r>
      <w:proofErr w:type="spellStart"/>
      <w:r w:rsidRPr="00141A43">
        <w:rPr>
          <w:szCs w:val="22"/>
        </w:rPr>
        <w:t>makrolidy</w:t>
      </w:r>
      <w:proofErr w:type="spellEnd"/>
      <w:r w:rsidRPr="00141A43">
        <w:rPr>
          <w:szCs w:val="22"/>
        </w:rPr>
        <w:t xml:space="preserve">, </w:t>
      </w:r>
      <w:r>
        <w:rPr>
          <w:szCs w:val="22"/>
        </w:rPr>
        <w:t>které jsou zpočátku</w:t>
      </w:r>
      <w:r w:rsidRPr="00141A43">
        <w:rPr>
          <w:szCs w:val="22"/>
        </w:rPr>
        <w:t xml:space="preserve"> citliv</w:t>
      </w:r>
      <w:r>
        <w:rPr>
          <w:szCs w:val="22"/>
        </w:rPr>
        <w:t>é</w:t>
      </w:r>
      <w:r w:rsidRPr="00141A43">
        <w:rPr>
          <w:szCs w:val="22"/>
        </w:rPr>
        <w:t xml:space="preserve"> na </w:t>
      </w:r>
      <w:proofErr w:type="spellStart"/>
      <w:r w:rsidRPr="00141A43">
        <w:rPr>
          <w:szCs w:val="22"/>
        </w:rPr>
        <w:t>klindamycin</w:t>
      </w:r>
      <w:proofErr w:type="spellEnd"/>
      <w:r w:rsidRPr="00141A43">
        <w:rPr>
          <w:szCs w:val="22"/>
        </w:rPr>
        <w:t xml:space="preserve">, se po vystavení účinkům </w:t>
      </w:r>
      <w:proofErr w:type="spellStart"/>
      <w:r w:rsidRPr="00141A43">
        <w:rPr>
          <w:szCs w:val="22"/>
        </w:rPr>
        <w:t>makrolidů</w:t>
      </w:r>
      <w:proofErr w:type="spellEnd"/>
      <w:r w:rsidRPr="00141A43">
        <w:rPr>
          <w:szCs w:val="22"/>
        </w:rPr>
        <w:t xml:space="preserve"> rychle rozvíjí rezistence na </w:t>
      </w:r>
      <w:proofErr w:type="spellStart"/>
      <w:r w:rsidRPr="00141A43">
        <w:rPr>
          <w:szCs w:val="22"/>
        </w:rPr>
        <w:t>klindamycin</w:t>
      </w:r>
      <w:proofErr w:type="spellEnd"/>
      <w:r w:rsidRPr="00141A43">
        <w:rPr>
          <w:szCs w:val="22"/>
        </w:rPr>
        <w:t xml:space="preserve">. Tyto bakterie představují riziko selekce konstitutivních mutantů </w:t>
      </w:r>
      <w:r w:rsidRPr="00141A43">
        <w:rPr>
          <w:i/>
          <w:iCs/>
          <w:szCs w:val="22"/>
        </w:rPr>
        <w:t xml:space="preserve">in </w:t>
      </w:r>
      <w:proofErr w:type="spellStart"/>
      <w:r w:rsidRPr="00141A43">
        <w:rPr>
          <w:i/>
          <w:iCs/>
          <w:szCs w:val="22"/>
        </w:rPr>
        <w:t>vivo</w:t>
      </w:r>
      <w:proofErr w:type="spellEnd"/>
      <w:r w:rsidRPr="00141A43">
        <w:rPr>
          <w:szCs w:val="22"/>
        </w:rPr>
        <w:t>.</w:t>
      </w:r>
    </w:p>
    <w:p w14:paraId="34FF0835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6EAB651" w14:textId="77777777" w:rsidR="00071D58" w:rsidRPr="00141A43" w:rsidRDefault="00071D58" w:rsidP="00071D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43">
        <w:rPr>
          <w:szCs w:val="22"/>
        </w:rPr>
        <w:t>MLS</w:t>
      </w:r>
      <w:r w:rsidRPr="00141A43">
        <w:rPr>
          <w:szCs w:val="22"/>
          <w:vertAlign w:val="subscript"/>
        </w:rPr>
        <w:t>B</w:t>
      </w:r>
      <w:r w:rsidRPr="00141A43">
        <w:rPr>
          <w:szCs w:val="22"/>
        </w:rPr>
        <w:t xml:space="preserve"> indukovaná rezistence se nedá zjistit pomocí standardních metod pro stanovování citlivosti </w:t>
      </w:r>
      <w:r w:rsidRPr="00141A43">
        <w:rPr>
          <w:i/>
          <w:iCs/>
          <w:szCs w:val="22"/>
        </w:rPr>
        <w:t>in vitro</w:t>
      </w:r>
      <w:r w:rsidRPr="00141A43">
        <w:rPr>
          <w:szCs w:val="22"/>
        </w:rPr>
        <w:t xml:space="preserve">. </w:t>
      </w:r>
      <w:r w:rsidRPr="0069426A">
        <w:rPr>
          <w:szCs w:val="22"/>
        </w:rPr>
        <w:t xml:space="preserve">K odhalení klinických izolátů s </w:t>
      </w:r>
      <w:proofErr w:type="spellStart"/>
      <w:r w:rsidRPr="0069426A">
        <w:rPr>
          <w:szCs w:val="22"/>
        </w:rPr>
        <w:t>indukovatelným</w:t>
      </w:r>
      <w:proofErr w:type="spellEnd"/>
      <w:r w:rsidRPr="0069426A">
        <w:rPr>
          <w:szCs w:val="22"/>
        </w:rPr>
        <w:t xml:space="preserve"> fenotypem rezistence CLSI doporučuje veterinárním diagnostickým laboratořím rutinní provádění D-testu</w:t>
      </w:r>
      <w:r w:rsidRPr="00AF3C18">
        <w:rPr>
          <w:szCs w:val="22"/>
        </w:rPr>
        <w:t>.</w:t>
      </w:r>
      <w:r w:rsidRPr="00141A43">
        <w:rPr>
          <w:szCs w:val="22"/>
        </w:rPr>
        <w:t xml:space="preserve"> U takových pacientů by </w:t>
      </w:r>
      <w:proofErr w:type="spellStart"/>
      <w:r w:rsidRPr="00141A43">
        <w:rPr>
          <w:szCs w:val="22"/>
        </w:rPr>
        <w:t>klindamycin</w:t>
      </w:r>
      <w:proofErr w:type="spellEnd"/>
      <w:r w:rsidRPr="00141A43">
        <w:rPr>
          <w:szCs w:val="22"/>
        </w:rPr>
        <w:t xml:space="preserve"> neměl být používán.</w:t>
      </w:r>
    </w:p>
    <w:p w14:paraId="656122D5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A822450" w14:textId="77777777" w:rsidR="00071D58" w:rsidRPr="00141A43" w:rsidRDefault="00071D58" w:rsidP="00071D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43">
        <w:rPr>
          <w:szCs w:val="22"/>
        </w:rPr>
        <w:t xml:space="preserve">Výskyt rezistence k </w:t>
      </w:r>
      <w:proofErr w:type="spellStart"/>
      <w:r w:rsidRPr="00141A43">
        <w:rPr>
          <w:szCs w:val="22"/>
        </w:rPr>
        <w:t>linkosamidům</w:t>
      </w:r>
      <w:proofErr w:type="spellEnd"/>
      <w:r w:rsidRPr="00141A43">
        <w:rPr>
          <w:szCs w:val="22"/>
        </w:rPr>
        <w:t xml:space="preserve"> u </w:t>
      </w:r>
      <w:proofErr w:type="spellStart"/>
      <w:r w:rsidRPr="00141A43">
        <w:rPr>
          <w:i/>
          <w:iCs/>
          <w:szCs w:val="22"/>
        </w:rPr>
        <w:t>Staphylococcus</w:t>
      </w:r>
      <w:proofErr w:type="spellEnd"/>
      <w:r w:rsidRPr="00141A43">
        <w:rPr>
          <w:i/>
          <w:iCs/>
          <w:szCs w:val="22"/>
        </w:rPr>
        <w:t xml:space="preserve"> </w:t>
      </w:r>
      <w:proofErr w:type="spellStart"/>
      <w:r w:rsidRPr="00141A43">
        <w:rPr>
          <w:szCs w:val="22"/>
        </w:rPr>
        <w:t>spp</w:t>
      </w:r>
      <w:proofErr w:type="spellEnd"/>
      <w:r w:rsidRPr="00141A43">
        <w:rPr>
          <w:szCs w:val="22"/>
        </w:rPr>
        <w:t xml:space="preserve">. je v Evropě široce rozšířen. Nedávné studie (2010) ukazují výskyt mezi 25 až </w:t>
      </w:r>
      <w:proofErr w:type="gramStart"/>
      <w:r w:rsidRPr="00141A43">
        <w:rPr>
          <w:szCs w:val="22"/>
        </w:rPr>
        <w:t>40%</w:t>
      </w:r>
      <w:proofErr w:type="gramEnd"/>
      <w:r w:rsidRPr="00141A43">
        <w:rPr>
          <w:szCs w:val="22"/>
        </w:rPr>
        <w:t>.</w:t>
      </w:r>
    </w:p>
    <w:p w14:paraId="4DB7F039" w14:textId="77777777" w:rsidR="00071D58" w:rsidRPr="00141A43" w:rsidRDefault="00071D58" w:rsidP="00071D58">
      <w:pPr>
        <w:pStyle w:val="Style1"/>
      </w:pPr>
    </w:p>
    <w:p w14:paraId="24878869" w14:textId="77777777" w:rsidR="00071D58" w:rsidRPr="00141A43" w:rsidRDefault="00071D58" w:rsidP="00071D58">
      <w:pPr>
        <w:pStyle w:val="Style1"/>
      </w:pPr>
      <w:r w:rsidRPr="00141A43">
        <w:t>4.3</w:t>
      </w:r>
      <w:r w:rsidRPr="00141A43">
        <w:tab/>
        <w:t>Farmakokinetika</w:t>
      </w:r>
    </w:p>
    <w:p w14:paraId="7E88E57A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4D88882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41A43">
        <w:rPr>
          <w:szCs w:val="22"/>
          <w:u w:val="single"/>
        </w:rPr>
        <w:t>Absorpce:</w:t>
      </w:r>
    </w:p>
    <w:p w14:paraId="61F9C18F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AF3C18">
        <w:rPr>
          <w:szCs w:val="22"/>
        </w:rPr>
        <w:t xml:space="preserve">Po perorálním podání je </w:t>
      </w:r>
      <w:proofErr w:type="spellStart"/>
      <w:r w:rsidRPr="00AF3C18">
        <w:rPr>
          <w:szCs w:val="22"/>
        </w:rPr>
        <w:t>klindamycinu</w:t>
      </w:r>
      <w:proofErr w:type="spellEnd"/>
      <w:r w:rsidRPr="00AF3C18">
        <w:rPr>
          <w:szCs w:val="22"/>
        </w:rPr>
        <w:t xml:space="preserve"> </w:t>
      </w:r>
      <w:proofErr w:type="spellStart"/>
      <w:r w:rsidRPr="00AF3C18">
        <w:rPr>
          <w:szCs w:val="22"/>
        </w:rPr>
        <w:t>hydrochlorid</w:t>
      </w:r>
      <w:proofErr w:type="spellEnd"/>
      <w:r w:rsidRPr="00AF3C18">
        <w:rPr>
          <w:szCs w:val="22"/>
        </w:rPr>
        <w:t xml:space="preserve"> u psů rychle absorbován z gastrointestinálního traktu.</w:t>
      </w:r>
    </w:p>
    <w:p w14:paraId="45837F17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0AF5DA9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41A43">
        <w:rPr>
          <w:szCs w:val="22"/>
          <w:u w:val="single"/>
        </w:rPr>
        <w:t>Sérové hodnoty:</w:t>
      </w:r>
    </w:p>
    <w:p w14:paraId="42A90119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 xml:space="preserve">Po perorálním podání 13,1 mg/kg ž.hm. je maximální plazmatické koncentrace 6,4 </w:t>
      </w:r>
      <w:proofErr w:type="spellStart"/>
      <w:r w:rsidRPr="00141A43">
        <w:rPr>
          <w:szCs w:val="22"/>
        </w:rPr>
        <w:t>μg</w:t>
      </w:r>
      <w:proofErr w:type="spellEnd"/>
      <w:r w:rsidRPr="00141A43">
        <w:rPr>
          <w:szCs w:val="22"/>
        </w:rPr>
        <w:t>/ml (průměrná</w:t>
      </w:r>
    </w:p>
    <w:p w14:paraId="689BFAB7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proofErr w:type="spellStart"/>
      <w:proofErr w:type="gramStart"/>
      <w:r w:rsidRPr="00141A43">
        <w:rPr>
          <w:szCs w:val="22"/>
        </w:rPr>
        <w:t>Cmax</w:t>
      </w:r>
      <w:proofErr w:type="spellEnd"/>
      <w:r w:rsidRPr="00141A43">
        <w:rPr>
          <w:szCs w:val="22"/>
        </w:rPr>
        <w:t xml:space="preserve"> )</w:t>
      </w:r>
      <w:proofErr w:type="gramEnd"/>
      <w:r w:rsidRPr="00141A43">
        <w:rPr>
          <w:szCs w:val="22"/>
        </w:rPr>
        <w:t xml:space="preserve"> dosaženo za 50 minut (průměrný </w:t>
      </w:r>
      <w:proofErr w:type="spellStart"/>
      <w:r w:rsidRPr="00141A43">
        <w:rPr>
          <w:szCs w:val="22"/>
        </w:rPr>
        <w:t>Tmax</w:t>
      </w:r>
      <w:proofErr w:type="spellEnd"/>
      <w:r w:rsidRPr="00141A43">
        <w:rPr>
          <w:szCs w:val="22"/>
        </w:rPr>
        <w:t xml:space="preserve">). </w:t>
      </w:r>
      <w:r w:rsidRPr="00AF3C18">
        <w:rPr>
          <w:szCs w:val="22"/>
        </w:rPr>
        <w:t xml:space="preserve">Biologický eliminační poločas </w:t>
      </w:r>
      <w:proofErr w:type="spellStart"/>
      <w:r w:rsidRPr="00AF3C18">
        <w:rPr>
          <w:szCs w:val="22"/>
        </w:rPr>
        <w:t>klindamycinu</w:t>
      </w:r>
      <w:proofErr w:type="spellEnd"/>
      <w:r w:rsidRPr="00AF3C18">
        <w:rPr>
          <w:szCs w:val="22"/>
        </w:rPr>
        <w:t xml:space="preserve"> u psů je přibližně 5 hodin</w:t>
      </w:r>
      <w:r w:rsidRPr="00141A43">
        <w:rPr>
          <w:szCs w:val="22"/>
        </w:rPr>
        <w:t>. U psů nebyla po několika opakovaných perorálních podáních pozorována žádná</w:t>
      </w:r>
    </w:p>
    <w:p w14:paraId="42EE2821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akumulace biologické aktivity.</w:t>
      </w:r>
    </w:p>
    <w:p w14:paraId="4586582C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DF17630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41A43">
        <w:rPr>
          <w:szCs w:val="22"/>
          <w:u w:val="single"/>
        </w:rPr>
        <w:t>Metabolismus a vylučování:</w:t>
      </w:r>
    </w:p>
    <w:p w14:paraId="434FDFFC" w14:textId="77777777" w:rsidR="00071D58" w:rsidRPr="00AF3C18" w:rsidRDefault="00071D58" w:rsidP="00071D58">
      <w:pPr>
        <w:rPr>
          <w:szCs w:val="22"/>
        </w:rPr>
      </w:pPr>
      <w:r w:rsidRPr="00AF3C18">
        <w:rPr>
          <w:szCs w:val="22"/>
        </w:rPr>
        <w:t xml:space="preserve">Rozsáhlý výzkum metabolismu a vylučování </w:t>
      </w:r>
      <w:proofErr w:type="spellStart"/>
      <w:r w:rsidRPr="00AF3C18">
        <w:rPr>
          <w:szCs w:val="22"/>
        </w:rPr>
        <w:t>klindamycinu</w:t>
      </w:r>
      <w:proofErr w:type="spellEnd"/>
      <w:r w:rsidRPr="00AF3C18">
        <w:rPr>
          <w:szCs w:val="22"/>
        </w:rPr>
        <w:t xml:space="preserve"> prokázal, že </w:t>
      </w:r>
      <w:r>
        <w:rPr>
          <w:szCs w:val="22"/>
        </w:rPr>
        <w:t xml:space="preserve">i </w:t>
      </w:r>
      <w:r w:rsidRPr="00AF3C18">
        <w:rPr>
          <w:szCs w:val="22"/>
        </w:rPr>
        <w:t>výchozí látka i biologicky aktivní a inaktivní metabolity jsou vylučovány močí a trusem.</w:t>
      </w:r>
    </w:p>
    <w:p w14:paraId="6A50AA80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3A9D62E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AF3C18">
        <w:rPr>
          <w:szCs w:val="22"/>
        </w:rPr>
        <w:t xml:space="preserve">Téměř veškerá biologická aktivita v séru po perorálním podání je způsobena </w:t>
      </w:r>
      <w:r w:rsidRPr="00141A43">
        <w:rPr>
          <w:szCs w:val="22"/>
        </w:rPr>
        <w:t>výchozí molekulou</w:t>
      </w:r>
    </w:p>
    <w:p w14:paraId="158A68D9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(</w:t>
      </w:r>
      <w:proofErr w:type="spellStart"/>
      <w:r w:rsidRPr="00141A43">
        <w:rPr>
          <w:szCs w:val="22"/>
        </w:rPr>
        <w:t>klindamycin</w:t>
      </w:r>
      <w:proofErr w:type="spellEnd"/>
      <w:r w:rsidRPr="00141A43">
        <w:rPr>
          <w:szCs w:val="22"/>
        </w:rPr>
        <w:t>).</w:t>
      </w:r>
    </w:p>
    <w:p w14:paraId="79E500E7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160A756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4006D2D" w14:textId="77777777" w:rsidR="00071D58" w:rsidRPr="00141A43" w:rsidRDefault="00071D58" w:rsidP="00071D58">
      <w:pPr>
        <w:pStyle w:val="Style1"/>
      </w:pPr>
      <w:r w:rsidRPr="00141A43">
        <w:t>5.</w:t>
      </w:r>
      <w:r w:rsidRPr="00141A43">
        <w:tab/>
        <w:t>FARMACEUTICKÉ ÚDAJE</w:t>
      </w:r>
    </w:p>
    <w:p w14:paraId="2F693682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25CE6ED" w14:textId="77777777" w:rsidR="00071D58" w:rsidRPr="00141A43" w:rsidRDefault="00071D58" w:rsidP="00071D58">
      <w:pPr>
        <w:pStyle w:val="Style1"/>
      </w:pPr>
      <w:r w:rsidRPr="00141A43">
        <w:t>5.1</w:t>
      </w:r>
      <w:r w:rsidRPr="00141A43">
        <w:tab/>
        <w:t>Hlavní inkompatibility</w:t>
      </w:r>
    </w:p>
    <w:p w14:paraId="7113F9CC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2662EFF0" w14:textId="77777777" w:rsidR="00071D58" w:rsidRPr="00141A43" w:rsidRDefault="00071D58" w:rsidP="00071D58">
      <w:pPr>
        <w:tabs>
          <w:tab w:val="clear" w:pos="567"/>
        </w:tabs>
        <w:spacing w:line="240" w:lineRule="auto"/>
      </w:pPr>
      <w:r w:rsidRPr="00141A43">
        <w:t>Neuplatňuje se.</w:t>
      </w:r>
    </w:p>
    <w:p w14:paraId="3C9B8229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4DD2CAC" w14:textId="77777777" w:rsidR="00071D58" w:rsidRPr="00141A43" w:rsidRDefault="00071D58" w:rsidP="00071D58">
      <w:pPr>
        <w:pStyle w:val="Style1"/>
      </w:pPr>
      <w:r w:rsidRPr="00141A43">
        <w:t>5.2</w:t>
      </w:r>
      <w:r w:rsidRPr="00141A43">
        <w:tab/>
        <w:t>Doba použitelnosti</w:t>
      </w:r>
    </w:p>
    <w:p w14:paraId="24078ACB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0644C16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Doba použitelnosti veterinárního léčivého přípravku v neporušeném obalu: 3 roky.</w:t>
      </w:r>
    </w:p>
    <w:p w14:paraId="32C7C6A1" w14:textId="77777777" w:rsidR="00071D58" w:rsidRPr="000655C7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Doba použitelnosti zbylých nepoužitých částí tablet po prvním otevření vnitřního obalu: 72 hodin</w:t>
      </w:r>
      <w:r>
        <w:rPr>
          <w:szCs w:val="22"/>
        </w:rPr>
        <w:t xml:space="preserve"> (nebo 3 dny).</w:t>
      </w:r>
    </w:p>
    <w:p w14:paraId="351BD1C6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74B771E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52579BC" w14:textId="77777777" w:rsidR="00071D58" w:rsidRPr="00141A43" w:rsidRDefault="00071D58" w:rsidP="00071D58">
      <w:pPr>
        <w:pStyle w:val="Style1"/>
      </w:pPr>
      <w:r w:rsidRPr="00141A43">
        <w:t>5.3</w:t>
      </w:r>
      <w:r w:rsidRPr="00141A43">
        <w:tab/>
        <w:t>Zvláštní opatření pro uchovávání</w:t>
      </w:r>
    </w:p>
    <w:p w14:paraId="39BC1835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FF98D48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Uchovávejte při teplotě do 30 °C.</w:t>
      </w:r>
    </w:p>
    <w:p w14:paraId="23ADEFCE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Zbylé nepoužité části tablet uchovávejte v blistru.</w:t>
      </w:r>
    </w:p>
    <w:p w14:paraId="62D573FF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Uchovávejte blistr v krabičce.</w:t>
      </w:r>
    </w:p>
    <w:p w14:paraId="31CFE663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FC63B42" w14:textId="77777777" w:rsidR="00071D58" w:rsidRPr="00141A43" w:rsidRDefault="00071D58" w:rsidP="00071D58">
      <w:pPr>
        <w:pStyle w:val="Style1"/>
      </w:pPr>
      <w:r w:rsidRPr="00141A43">
        <w:t>5.4</w:t>
      </w:r>
      <w:r w:rsidRPr="00141A43">
        <w:tab/>
        <w:t>Druh a složení vnitřního obalu</w:t>
      </w:r>
    </w:p>
    <w:p w14:paraId="42DC1DE8" w14:textId="77777777" w:rsidR="00071D58" w:rsidRPr="00141A43" w:rsidRDefault="00071D58" w:rsidP="00071D58">
      <w:pPr>
        <w:pStyle w:val="Style1"/>
      </w:pPr>
    </w:p>
    <w:p w14:paraId="11741956" w14:textId="77777777" w:rsidR="00071D58" w:rsidRPr="00141A43" w:rsidRDefault="00071D58" w:rsidP="00071D58">
      <w:pPr>
        <w:pStyle w:val="Style1"/>
        <w:rPr>
          <w:b w:val="0"/>
          <w:bCs/>
        </w:rPr>
      </w:pPr>
      <w:r w:rsidRPr="00141A43">
        <w:rPr>
          <w:b w:val="0"/>
          <w:bCs/>
        </w:rPr>
        <w:t>Blistry: (PVC-TE-PVDC – uzavřené tepelně zatavenou hliníkovou fólií) obsahují 6 tablet v jednom</w:t>
      </w:r>
    </w:p>
    <w:p w14:paraId="2DFCB9BB" w14:textId="77777777" w:rsidR="00071D58" w:rsidRPr="00141A43" w:rsidRDefault="00071D58" w:rsidP="00071D58">
      <w:pPr>
        <w:pStyle w:val="Style1"/>
        <w:rPr>
          <w:b w:val="0"/>
          <w:bCs/>
        </w:rPr>
      </w:pPr>
      <w:r w:rsidRPr="00141A43">
        <w:rPr>
          <w:b w:val="0"/>
          <w:bCs/>
        </w:rPr>
        <w:t>blistru.</w:t>
      </w:r>
    </w:p>
    <w:p w14:paraId="536E0B55" w14:textId="77777777" w:rsidR="00071D58" w:rsidRPr="00141A43" w:rsidRDefault="00071D58" w:rsidP="00071D58">
      <w:pPr>
        <w:pStyle w:val="Style1"/>
        <w:rPr>
          <w:b w:val="0"/>
          <w:bCs/>
        </w:rPr>
      </w:pPr>
      <w:r w:rsidRPr="00141A43">
        <w:rPr>
          <w:b w:val="0"/>
          <w:bCs/>
        </w:rPr>
        <w:t>Papírová krabička se 6 tabletami obsahuje 1 blistr se 6 tabletami.</w:t>
      </w:r>
    </w:p>
    <w:p w14:paraId="3FB591E6" w14:textId="77777777" w:rsidR="00071D58" w:rsidRPr="00141A43" w:rsidRDefault="00071D58" w:rsidP="00071D58">
      <w:pPr>
        <w:pStyle w:val="Style1"/>
        <w:rPr>
          <w:b w:val="0"/>
          <w:bCs/>
        </w:rPr>
      </w:pPr>
      <w:r w:rsidRPr="00141A43">
        <w:rPr>
          <w:b w:val="0"/>
          <w:bCs/>
        </w:rPr>
        <w:t>Papírová krabička s 12 tabletami obsahuje 2 blistry po 6 tabletách.</w:t>
      </w:r>
    </w:p>
    <w:p w14:paraId="33AAEC1D" w14:textId="77777777" w:rsidR="00071D58" w:rsidRPr="00141A43" w:rsidRDefault="00071D58" w:rsidP="00071D58">
      <w:pPr>
        <w:pStyle w:val="Style1"/>
        <w:rPr>
          <w:b w:val="0"/>
          <w:bCs/>
        </w:rPr>
      </w:pPr>
      <w:r w:rsidRPr="00141A43">
        <w:rPr>
          <w:b w:val="0"/>
          <w:bCs/>
        </w:rPr>
        <w:t>Papírová krabička s 96 tabletami obsahuje 16 blistrů po 6 tabletách.</w:t>
      </w:r>
    </w:p>
    <w:p w14:paraId="3F30D9EB" w14:textId="77777777" w:rsidR="00071D58" w:rsidRPr="00141A43" w:rsidRDefault="00071D58" w:rsidP="00071D58">
      <w:pPr>
        <w:pStyle w:val="Style1"/>
        <w:rPr>
          <w:b w:val="0"/>
          <w:bCs/>
        </w:rPr>
      </w:pPr>
      <w:r w:rsidRPr="00141A43">
        <w:rPr>
          <w:b w:val="0"/>
          <w:bCs/>
        </w:rPr>
        <w:t>Papírová krabička se 120 tabletami obsahuje 20 blistrů po 6 tabletách.</w:t>
      </w:r>
    </w:p>
    <w:p w14:paraId="5024EDDA" w14:textId="77777777" w:rsidR="00071D58" w:rsidRPr="00141A43" w:rsidRDefault="00071D58" w:rsidP="00071D58">
      <w:pPr>
        <w:pStyle w:val="Style1"/>
        <w:rPr>
          <w:b w:val="0"/>
        </w:rPr>
      </w:pPr>
      <w:r w:rsidRPr="00141A43">
        <w:rPr>
          <w:b w:val="0"/>
        </w:rPr>
        <w:t>Papírová krabička s 240 tabletami obsahuje 40 blistrů po 6 tabletách.</w:t>
      </w:r>
    </w:p>
    <w:p w14:paraId="33C5AA19" w14:textId="77777777" w:rsidR="00071D58" w:rsidRPr="00141A43" w:rsidRDefault="00071D58" w:rsidP="00071D58">
      <w:pPr>
        <w:pStyle w:val="Style1"/>
        <w:rPr>
          <w:b w:val="0"/>
          <w:bCs/>
        </w:rPr>
      </w:pPr>
    </w:p>
    <w:p w14:paraId="411B5C1F" w14:textId="77777777" w:rsidR="00071D58" w:rsidRPr="00141A43" w:rsidRDefault="00071D58" w:rsidP="00071D58">
      <w:pPr>
        <w:pStyle w:val="Style1"/>
        <w:rPr>
          <w:b w:val="0"/>
          <w:bCs/>
        </w:rPr>
      </w:pPr>
      <w:r w:rsidRPr="00141A43">
        <w:rPr>
          <w:b w:val="0"/>
          <w:bCs/>
        </w:rPr>
        <w:t>Na trhu nemusí být všechny velikosti balení.</w:t>
      </w:r>
    </w:p>
    <w:p w14:paraId="51A9DF56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t xml:space="preserve"> </w:t>
      </w:r>
    </w:p>
    <w:p w14:paraId="7CE9CA6B" w14:textId="77777777" w:rsidR="00071D58" w:rsidRPr="00141A43" w:rsidRDefault="00071D58" w:rsidP="00071D58">
      <w:pPr>
        <w:pStyle w:val="Style1"/>
        <w:keepNext/>
      </w:pPr>
      <w:r w:rsidRPr="00141A43">
        <w:t>5.5</w:t>
      </w:r>
      <w:r w:rsidRPr="00141A43">
        <w:tab/>
        <w:t>Zvláštní opatření pro likvidaci nepoužitých veterinárních léčivých přípravků nebo odpadů, které pochází z těchto přípravků</w:t>
      </w:r>
    </w:p>
    <w:p w14:paraId="30076574" w14:textId="77777777" w:rsidR="00071D58" w:rsidRPr="00141A43" w:rsidRDefault="00071D58" w:rsidP="00071D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6CBF347" w14:textId="77777777" w:rsidR="00071D58" w:rsidRPr="00141A43" w:rsidRDefault="00071D58" w:rsidP="00071D58">
      <w:pPr>
        <w:rPr>
          <w:szCs w:val="22"/>
        </w:rPr>
      </w:pPr>
      <w:r w:rsidRPr="00141A43">
        <w:t>Léčivé přípravky se nesmí likvidovat prostřednictvím odpadní vody či domovního odpadu.</w:t>
      </w:r>
    </w:p>
    <w:p w14:paraId="79409FFD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F46ABC4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1538459D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2AD34F7C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79D0B69" w14:textId="77777777" w:rsidR="00071D58" w:rsidRPr="00141A43" w:rsidRDefault="00071D58" w:rsidP="00071D58">
      <w:pPr>
        <w:pStyle w:val="Style1"/>
      </w:pPr>
      <w:r w:rsidRPr="00141A43">
        <w:t>6.</w:t>
      </w:r>
      <w:r w:rsidRPr="00141A43">
        <w:tab/>
        <w:t>JMÉNO DRŽITELE ROZHODNUTÍ O REGISTRACI</w:t>
      </w:r>
    </w:p>
    <w:p w14:paraId="2ECB79F0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F11A7E8" w14:textId="77777777" w:rsidR="00071D58" w:rsidRPr="00141A43" w:rsidRDefault="00071D58" w:rsidP="00071D58">
      <w:pPr>
        <w:tabs>
          <w:tab w:val="clear" w:pos="567"/>
        </w:tabs>
        <w:spacing w:line="240" w:lineRule="auto"/>
      </w:pPr>
      <w:proofErr w:type="spellStart"/>
      <w:r w:rsidRPr="00141A43">
        <w:t>Ceva</w:t>
      </w:r>
      <w:proofErr w:type="spellEnd"/>
      <w:r w:rsidRPr="00141A43">
        <w:t xml:space="preserve"> </w:t>
      </w:r>
      <w:proofErr w:type="spellStart"/>
      <w:r w:rsidRPr="00141A43">
        <w:t>Santé</w:t>
      </w:r>
      <w:proofErr w:type="spellEnd"/>
      <w:r w:rsidRPr="00141A43">
        <w:t xml:space="preserve"> Animale</w:t>
      </w:r>
    </w:p>
    <w:p w14:paraId="73634033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1A2EB53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222AA04D" w14:textId="77777777" w:rsidR="00071D58" w:rsidRPr="00141A43" w:rsidRDefault="00071D58" w:rsidP="00071D58">
      <w:pPr>
        <w:pStyle w:val="Style1"/>
      </w:pPr>
      <w:r w:rsidRPr="00141A43">
        <w:t>7.</w:t>
      </w:r>
      <w:r w:rsidRPr="00141A43">
        <w:tab/>
        <w:t>REGISTRAČNÍ ČÍSLO(A)</w:t>
      </w:r>
    </w:p>
    <w:p w14:paraId="585478F2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BB0C6FD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rPr>
          <w:szCs w:val="22"/>
        </w:rPr>
        <w:t>96/068/</w:t>
      </w:r>
      <w:proofErr w:type="gramStart"/>
      <w:r w:rsidRPr="00141A43">
        <w:rPr>
          <w:szCs w:val="22"/>
        </w:rPr>
        <w:t>14-C</w:t>
      </w:r>
      <w:proofErr w:type="gramEnd"/>
    </w:p>
    <w:p w14:paraId="07CEA10B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D04E144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F429F01" w14:textId="77777777" w:rsidR="00071D58" w:rsidRPr="00141A43" w:rsidRDefault="00071D58" w:rsidP="00071D58">
      <w:pPr>
        <w:pStyle w:val="Style1"/>
      </w:pPr>
      <w:r w:rsidRPr="00141A43">
        <w:t>8.</w:t>
      </w:r>
      <w:r w:rsidRPr="00141A43">
        <w:tab/>
        <w:t>DATUM PRVNÍ REGISTRACE</w:t>
      </w:r>
    </w:p>
    <w:p w14:paraId="19DAD723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7B7C1129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 w:rsidRPr="00141A43">
        <w:t>Datum první registrace: 4. 9. 2014</w:t>
      </w:r>
    </w:p>
    <w:p w14:paraId="61AB3B9E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11B01A1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041A402E" w14:textId="77777777" w:rsidR="00071D58" w:rsidRPr="00141A43" w:rsidRDefault="00071D58" w:rsidP="00071D58">
      <w:pPr>
        <w:pStyle w:val="Style1"/>
      </w:pPr>
      <w:r w:rsidRPr="00141A43">
        <w:t>9.</w:t>
      </w:r>
      <w:r w:rsidRPr="00141A43">
        <w:tab/>
        <w:t>DATUM POSLEDNÍ AKTUALIZACE SOUHRNU ÚDAJŮ O PŘÍPRAVKU</w:t>
      </w:r>
    </w:p>
    <w:p w14:paraId="7E1CCB26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31AA5D1C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  <w:r>
        <w:t>07/2025</w:t>
      </w:r>
    </w:p>
    <w:p w14:paraId="6FC2CFC3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1FA96ED1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420D0EE2" w14:textId="77777777" w:rsidR="00071D58" w:rsidRPr="00141A43" w:rsidRDefault="00071D58" w:rsidP="00071D58">
      <w:pPr>
        <w:pStyle w:val="Style1"/>
      </w:pPr>
      <w:r w:rsidRPr="00141A43">
        <w:t>10.</w:t>
      </w:r>
      <w:r w:rsidRPr="00141A43">
        <w:tab/>
        <w:t>KLASIFIKACE VETERINÁRNÍCH LÉČIVÝCH PŘÍPRAVKŮ</w:t>
      </w:r>
    </w:p>
    <w:p w14:paraId="0A00CE78" w14:textId="77777777" w:rsidR="00071D58" w:rsidRPr="00141A43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5BFD8751" w14:textId="77777777" w:rsidR="00071D58" w:rsidRPr="00141A43" w:rsidRDefault="00071D58" w:rsidP="00071D58">
      <w:pPr>
        <w:numPr>
          <w:ilvl w:val="12"/>
          <w:numId w:val="0"/>
        </w:numPr>
        <w:rPr>
          <w:szCs w:val="22"/>
        </w:rPr>
      </w:pPr>
      <w:r w:rsidRPr="00141A43">
        <w:t>Veterinární léčivý přípravek je vydáván pouze na předpis.</w:t>
      </w:r>
    </w:p>
    <w:p w14:paraId="283D1155" w14:textId="77777777" w:rsidR="00071D58" w:rsidRPr="00141A43" w:rsidRDefault="00071D58" w:rsidP="00071D58">
      <w:pPr>
        <w:ind w:right="-318"/>
        <w:rPr>
          <w:szCs w:val="22"/>
        </w:rPr>
      </w:pPr>
    </w:p>
    <w:p w14:paraId="49CEBABA" w14:textId="77777777" w:rsidR="00071D58" w:rsidRPr="00141A43" w:rsidRDefault="00071D58" w:rsidP="00071D58">
      <w:pPr>
        <w:ind w:right="-1"/>
        <w:rPr>
          <w:szCs w:val="22"/>
        </w:rPr>
      </w:pPr>
      <w:r w:rsidRPr="00141A43">
        <w:t xml:space="preserve">Podrobné informace o tomto veterinárním léčivém přípravku jsou k dispozici v databázi přípravků Unie </w:t>
      </w:r>
      <w:r w:rsidRPr="00141A43">
        <w:rPr>
          <w:szCs w:val="22"/>
        </w:rPr>
        <w:t>(</w:t>
      </w:r>
      <w:hyperlink r:id="rId12" w:history="1">
        <w:r w:rsidRPr="00141A43">
          <w:rPr>
            <w:rStyle w:val="Hypertextovodkaz"/>
            <w:szCs w:val="22"/>
          </w:rPr>
          <w:t>https://medicines.health.europa.eu/veterinary</w:t>
        </w:r>
      </w:hyperlink>
      <w:r w:rsidRPr="00141A43">
        <w:rPr>
          <w:szCs w:val="22"/>
        </w:rPr>
        <w:t>)</w:t>
      </w:r>
      <w:r w:rsidRPr="00141A43">
        <w:rPr>
          <w:i/>
          <w:szCs w:val="22"/>
        </w:rPr>
        <w:t>.</w:t>
      </w:r>
    </w:p>
    <w:p w14:paraId="1ADE4B0A" w14:textId="77777777" w:rsidR="00071D58" w:rsidRPr="00141A43" w:rsidRDefault="00071D58" w:rsidP="00071D58">
      <w:pPr>
        <w:tabs>
          <w:tab w:val="clear" w:pos="567"/>
        </w:tabs>
        <w:spacing w:line="240" w:lineRule="auto"/>
      </w:pPr>
    </w:p>
    <w:p w14:paraId="5CF16D76" w14:textId="77777777" w:rsidR="00071D58" w:rsidRPr="00141A43" w:rsidRDefault="00071D58" w:rsidP="00071D58">
      <w:pPr>
        <w:ind w:right="-318"/>
        <w:rPr>
          <w:szCs w:val="22"/>
        </w:rPr>
      </w:pPr>
      <w:r w:rsidRPr="00141A43">
        <w:rPr>
          <w:rStyle w:val="markedcontent"/>
        </w:rPr>
        <w:lastRenderedPageBreak/>
        <w:t>Podrobné informace o tomto veterinárním léčivém přípravku naleznete také v národní databázi (</w:t>
      </w:r>
      <w:hyperlink r:id="rId13" w:history="1">
        <w:r w:rsidRPr="00141A43">
          <w:rPr>
            <w:rStyle w:val="Hypertextovodkaz"/>
          </w:rPr>
          <w:t>https://www.uskvbl.cz</w:t>
        </w:r>
      </w:hyperlink>
      <w:r w:rsidRPr="00141A43">
        <w:rPr>
          <w:rStyle w:val="markedcontent"/>
        </w:rPr>
        <w:t>).</w:t>
      </w:r>
    </w:p>
    <w:p w14:paraId="350135DD" w14:textId="77777777" w:rsidR="00071D58" w:rsidRPr="00B41D57" w:rsidRDefault="00071D58" w:rsidP="00071D58">
      <w:pPr>
        <w:tabs>
          <w:tab w:val="clear" w:pos="567"/>
        </w:tabs>
        <w:spacing w:line="240" w:lineRule="auto"/>
        <w:rPr>
          <w:szCs w:val="22"/>
        </w:rPr>
      </w:pPr>
    </w:p>
    <w:p w14:paraId="69924E2B" w14:textId="7E7CC860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FE6B3" w14:textId="77777777" w:rsidR="001B4625" w:rsidRPr="000655C7" w:rsidRDefault="001B4625">
      <w:pPr>
        <w:spacing w:line="240" w:lineRule="auto"/>
      </w:pPr>
      <w:r w:rsidRPr="000655C7">
        <w:separator/>
      </w:r>
    </w:p>
  </w:endnote>
  <w:endnote w:type="continuationSeparator" w:id="0">
    <w:p w14:paraId="7EE7DEB1" w14:textId="77777777" w:rsidR="001B4625" w:rsidRPr="000655C7" w:rsidRDefault="001B4625">
      <w:pPr>
        <w:spacing w:line="240" w:lineRule="auto"/>
      </w:pPr>
      <w:r w:rsidRPr="000655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0DAB3" w14:textId="77777777" w:rsidR="00B1180C" w:rsidRDefault="00B118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0655C7" w:rsidRDefault="008E1C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0655C7">
      <w:rPr>
        <w:rFonts w:ascii="Times New Roman" w:hAnsi="Times New Roman"/>
      </w:rPr>
      <w:fldChar w:fldCharType="begin"/>
    </w:r>
    <w:r w:rsidRPr="000655C7">
      <w:rPr>
        <w:rFonts w:ascii="Times New Roman" w:hAnsi="Times New Roman"/>
      </w:rPr>
      <w:instrText xml:space="preserve"> PAGE  \* MERGEFORMAT </w:instrText>
    </w:r>
    <w:r w:rsidRPr="000655C7">
      <w:rPr>
        <w:rFonts w:ascii="Times New Roman" w:hAnsi="Times New Roman"/>
      </w:rPr>
      <w:fldChar w:fldCharType="separate"/>
    </w:r>
    <w:r w:rsidRPr="000655C7">
      <w:rPr>
        <w:rFonts w:ascii="Times New Roman" w:hAnsi="Times New Roman"/>
      </w:rPr>
      <w:t>25</w:t>
    </w:r>
    <w:r w:rsidRPr="000655C7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0655C7" w:rsidRDefault="008E1C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0655C7">
      <w:fldChar w:fldCharType="begin"/>
    </w:r>
    <w:r w:rsidRPr="000655C7">
      <w:instrText xml:space="preserve"> PAGE  \* MERGEFORMAT </w:instrText>
    </w:r>
    <w:r w:rsidRPr="000655C7">
      <w:fldChar w:fldCharType="separate"/>
    </w:r>
    <w:r w:rsidRPr="000655C7">
      <w:t>3</w:t>
    </w:r>
    <w:r w:rsidRPr="000655C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80B04" w14:textId="77777777" w:rsidR="001B4625" w:rsidRPr="000655C7" w:rsidRDefault="001B4625">
      <w:pPr>
        <w:spacing w:line="240" w:lineRule="auto"/>
      </w:pPr>
      <w:r w:rsidRPr="000655C7">
        <w:separator/>
      </w:r>
    </w:p>
  </w:footnote>
  <w:footnote w:type="continuationSeparator" w:id="0">
    <w:p w14:paraId="6D90157B" w14:textId="77777777" w:rsidR="001B4625" w:rsidRPr="000655C7" w:rsidRDefault="001B4625">
      <w:pPr>
        <w:spacing w:line="240" w:lineRule="auto"/>
      </w:pPr>
      <w:r w:rsidRPr="000655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DC546" w14:textId="77777777" w:rsidR="00B1180C" w:rsidRDefault="00B118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F2565" w14:textId="30566ED3" w:rsidR="004F7B6D" w:rsidRPr="004F7B6D" w:rsidRDefault="004F7B6D" w:rsidP="004F7B6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3C5B0" w14:textId="77777777" w:rsidR="00B1180C" w:rsidRDefault="00B118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0835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55C7"/>
    <w:rsid w:val="00067023"/>
    <w:rsid w:val="00071D58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5A91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4C55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89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3D26"/>
    <w:rsid w:val="001B43A9"/>
    <w:rsid w:val="001B4625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42B4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576E0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25F6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0B35"/>
    <w:rsid w:val="003535E0"/>
    <w:rsid w:val="003543AC"/>
    <w:rsid w:val="00355AB8"/>
    <w:rsid w:val="00355D02"/>
    <w:rsid w:val="00361607"/>
    <w:rsid w:val="00362CA0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1F63"/>
    <w:rsid w:val="003A31B9"/>
    <w:rsid w:val="003A3E2F"/>
    <w:rsid w:val="003A54B2"/>
    <w:rsid w:val="003A6CCB"/>
    <w:rsid w:val="003B0F22"/>
    <w:rsid w:val="003B10C4"/>
    <w:rsid w:val="003B20B3"/>
    <w:rsid w:val="003B48EB"/>
    <w:rsid w:val="003B516B"/>
    <w:rsid w:val="003B5CD1"/>
    <w:rsid w:val="003C2C02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26C8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4FE1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1C8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A7AEA"/>
    <w:rsid w:val="004B1A75"/>
    <w:rsid w:val="004B2344"/>
    <w:rsid w:val="004B5406"/>
    <w:rsid w:val="004B5797"/>
    <w:rsid w:val="004B5DDC"/>
    <w:rsid w:val="004B7005"/>
    <w:rsid w:val="004B798E"/>
    <w:rsid w:val="004C0568"/>
    <w:rsid w:val="004C2ABD"/>
    <w:rsid w:val="004C4CDE"/>
    <w:rsid w:val="004C4D6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ACD"/>
    <w:rsid w:val="004E7ECE"/>
    <w:rsid w:val="004F4DB1"/>
    <w:rsid w:val="004F6F64"/>
    <w:rsid w:val="004F7B6D"/>
    <w:rsid w:val="005004EC"/>
    <w:rsid w:val="00506AAE"/>
    <w:rsid w:val="005166B1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50D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45F1"/>
    <w:rsid w:val="00575DE3"/>
    <w:rsid w:val="00580B08"/>
    <w:rsid w:val="00582578"/>
    <w:rsid w:val="0058621D"/>
    <w:rsid w:val="00586904"/>
    <w:rsid w:val="0059622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5B5F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29F7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21EA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2937"/>
    <w:rsid w:val="006D3509"/>
    <w:rsid w:val="006D7C6E"/>
    <w:rsid w:val="006E15A2"/>
    <w:rsid w:val="006E2F95"/>
    <w:rsid w:val="006E4ABF"/>
    <w:rsid w:val="006F148B"/>
    <w:rsid w:val="00705EAF"/>
    <w:rsid w:val="0070773E"/>
    <w:rsid w:val="007101CC"/>
    <w:rsid w:val="00712D60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1C01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06B"/>
    <w:rsid w:val="007A314D"/>
    <w:rsid w:val="007A38DF"/>
    <w:rsid w:val="007A4FCA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10C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152A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4B6"/>
    <w:rsid w:val="008935EC"/>
    <w:rsid w:val="008947AE"/>
    <w:rsid w:val="00894E3A"/>
    <w:rsid w:val="0089596F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1CA4"/>
    <w:rsid w:val="008E45C4"/>
    <w:rsid w:val="008E4FE4"/>
    <w:rsid w:val="008E5126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ABE"/>
    <w:rsid w:val="00966F1F"/>
    <w:rsid w:val="00975676"/>
    <w:rsid w:val="00976467"/>
    <w:rsid w:val="00976D32"/>
    <w:rsid w:val="009844F7"/>
    <w:rsid w:val="00990C68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52D6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1C93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3ACE"/>
    <w:rsid w:val="00AB1A2E"/>
    <w:rsid w:val="00AB328A"/>
    <w:rsid w:val="00AB4918"/>
    <w:rsid w:val="00AB4BC8"/>
    <w:rsid w:val="00AB6BA7"/>
    <w:rsid w:val="00AB7BE8"/>
    <w:rsid w:val="00AC52BB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80C"/>
    <w:rsid w:val="00B119A2"/>
    <w:rsid w:val="00B13B6D"/>
    <w:rsid w:val="00B177F2"/>
    <w:rsid w:val="00B201F1"/>
    <w:rsid w:val="00B2603F"/>
    <w:rsid w:val="00B27B7A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0D2"/>
    <w:rsid w:val="00BD5DD3"/>
    <w:rsid w:val="00BE117E"/>
    <w:rsid w:val="00BE3261"/>
    <w:rsid w:val="00BF00EF"/>
    <w:rsid w:val="00BF54AC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6530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2690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074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0BDB"/>
    <w:rsid w:val="00D5338C"/>
    <w:rsid w:val="00D606B2"/>
    <w:rsid w:val="00D625A7"/>
    <w:rsid w:val="00D63575"/>
    <w:rsid w:val="00D64074"/>
    <w:rsid w:val="00D65777"/>
    <w:rsid w:val="00D728A0"/>
    <w:rsid w:val="00D74018"/>
    <w:rsid w:val="00D80309"/>
    <w:rsid w:val="00D83661"/>
    <w:rsid w:val="00D87423"/>
    <w:rsid w:val="00D9216A"/>
    <w:rsid w:val="00D95BBB"/>
    <w:rsid w:val="00D97E7D"/>
    <w:rsid w:val="00DA16B5"/>
    <w:rsid w:val="00DA2A06"/>
    <w:rsid w:val="00DB1C8C"/>
    <w:rsid w:val="00DB3439"/>
    <w:rsid w:val="00DB3618"/>
    <w:rsid w:val="00DB3CFC"/>
    <w:rsid w:val="00DB468A"/>
    <w:rsid w:val="00DC2946"/>
    <w:rsid w:val="00DC4340"/>
    <w:rsid w:val="00DC550F"/>
    <w:rsid w:val="00DC64FD"/>
    <w:rsid w:val="00DD53C3"/>
    <w:rsid w:val="00DD669D"/>
    <w:rsid w:val="00DE127F"/>
    <w:rsid w:val="00DE1F1E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5C2A"/>
    <w:rsid w:val="00EA0640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279F3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5C54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https://www.uskvbl.cz/cs/registrace-a-schvalovani/registrace-vlp/seznam-vlp/aktualne-registrovane-vlp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315BA-581A-43A5-9634-6F171B3E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6083</Words>
  <Characters>35894</Characters>
  <Application>Microsoft Office Word</Application>
  <DocSecurity>0</DocSecurity>
  <Lines>299</Lines>
  <Paragraphs>83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41894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28</cp:revision>
  <cp:lastPrinted>2025-07-30T09:47:00Z</cp:lastPrinted>
  <dcterms:created xsi:type="dcterms:W3CDTF">2024-12-17T12:35:00Z</dcterms:created>
  <dcterms:modified xsi:type="dcterms:W3CDTF">2025-08-11T10:41:00Z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