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34" w:rsidRPr="00F254B8" w:rsidRDefault="00927634" w:rsidP="00927634">
      <w:pPr>
        <w:pStyle w:val="Nadpis1"/>
        <w:jc w:val="center"/>
        <w:rPr>
          <w:sz w:val="22"/>
          <w:szCs w:val="22"/>
        </w:rPr>
      </w:pPr>
      <w:bookmarkStart w:id="0" w:name="_GoBack"/>
      <w:r w:rsidRPr="00F254B8">
        <w:rPr>
          <w:sz w:val="22"/>
          <w:szCs w:val="22"/>
        </w:rPr>
        <w:t>SOUHRN ÚDAJŮ O PŘÍPRAVKU</w:t>
      </w:r>
    </w:p>
    <w:p w:rsidR="00927634" w:rsidRPr="00F254B8" w:rsidRDefault="00927634" w:rsidP="00927634">
      <w:pPr>
        <w:rPr>
          <w:rFonts w:ascii="Arial" w:hAnsi="Arial" w:cs="Arial"/>
          <w:sz w:val="22"/>
          <w:szCs w:val="22"/>
        </w:rPr>
      </w:pPr>
    </w:p>
    <w:p w:rsidR="00927634" w:rsidRPr="00F254B8" w:rsidRDefault="00927634" w:rsidP="00927634">
      <w:pPr>
        <w:keepNext/>
        <w:numPr>
          <w:ilvl w:val="0"/>
          <w:numId w:val="39"/>
        </w:numPr>
        <w:ind w:left="709" w:hanging="709"/>
        <w:rPr>
          <w:rFonts w:ascii="Arial" w:hAnsi="Arial" w:cs="Arial"/>
          <w:b/>
          <w:bCs/>
          <w:sz w:val="22"/>
          <w:szCs w:val="22"/>
        </w:rPr>
      </w:pPr>
      <w:r w:rsidRPr="00F254B8">
        <w:rPr>
          <w:rFonts w:ascii="Arial" w:hAnsi="Arial" w:cs="Arial"/>
          <w:b/>
          <w:bCs/>
          <w:sz w:val="22"/>
          <w:szCs w:val="22"/>
        </w:rPr>
        <w:t>NÁZEV VETERINÁRNÍHO LÉČIVÉHO PŘÍPRAVKU</w:t>
      </w:r>
    </w:p>
    <w:p w:rsidR="00927634" w:rsidRPr="00F254B8" w:rsidRDefault="00927634" w:rsidP="00927634">
      <w:pPr>
        <w:ind w:left="709"/>
        <w:rPr>
          <w:rFonts w:ascii="Arial" w:hAnsi="Arial" w:cs="Arial"/>
          <w:sz w:val="22"/>
          <w:szCs w:val="22"/>
        </w:rPr>
      </w:pPr>
      <w:r w:rsidRPr="00F254B8">
        <w:rPr>
          <w:rFonts w:ascii="Arial" w:hAnsi="Arial" w:cs="Arial"/>
          <w:sz w:val="22"/>
          <w:szCs w:val="22"/>
        </w:rPr>
        <w:t>MEDITEK DOX 500 mg/g prášek pro podání v pitné vodě</w:t>
      </w:r>
    </w:p>
    <w:p w:rsidR="00927634" w:rsidRPr="00F254B8" w:rsidRDefault="00927634" w:rsidP="00927634">
      <w:pPr>
        <w:ind w:left="426" w:hanging="426"/>
        <w:rPr>
          <w:rFonts w:ascii="Arial" w:hAnsi="Arial" w:cs="Arial"/>
          <w:sz w:val="22"/>
          <w:szCs w:val="22"/>
        </w:rPr>
      </w:pPr>
    </w:p>
    <w:p w:rsidR="00927634" w:rsidRPr="00F254B8" w:rsidRDefault="00927634" w:rsidP="00927634">
      <w:pPr>
        <w:keepNext/>
        <w:numPr>
          <w:ilvl w:val="0"/>
          <w:numId w:val="39"/>
        </w:numPr>
        <w:ind w:left="709" w:hanging="709"/>
        <w:rPr>
          <w:rFonts w:ascii="Arial" w:hAnsi="Arial" w:cs="Arial"/>
          <w:b/>
          <w:bCs/>
          <w:sz w:val="22"/>
          <w:szCs w:val="22"/>
        </w:rPr>
      </w:pPr>
      <w:r w:rsidRPr="00F254B8">
        <w:rPr>
          <w:rFonts w:ascii="Arial" w:hAnsi="Arial" w:cs="Arial"/>
          <w:b/>
          <w:bCs/>
          <w:sz w:val="22"/>
          <w:szCs w:val="22"/>
        </w:rPr>
        <w:t>KVALITATIVNÍ A KVANTITATIVNÍ SLOŽENÍ</w:t>
      </w:r>
    </w:p>
    <w:p w:rsidR="00927634" w:rsidRPr="00F254B8" w:rsidRDefault="00927634" w:rsidP="00927634">
      <w:pPr>
        <w:ind w:left="426" w:firstLine="283"/>
        <w:rPr>
          <w:rFonts w:ascii="Arial" w:hAnsi="Arial" w:cs="Arial"/>
          <w:sz w:val="22"/>
          <w:szCs w:val="22"/>
        </w:rPr>
      </w:pPr>
      <w:r w:rsidRPr="00F254B8">
        <w:rPr>
          <w:rFonts w:ascii="Arial" w:hAnsi="Arial" w:cs="Arial"/>
          <w:sz w:val="22"/>
          <w:szCs w:val="22"/>
        </w:rPr>
        <w:t>1 g přípravku obsahuje:</w:t>
      </w:r>
    </w:p>
    <w:p w:rsidR="00927634" w:rsidRPr="00F254B8" w:rsidRDefault="00927634" w:rsidP="00927634">
      <w:pPr>
        <w:ind w:left="426" w:firstLine="283"/>
        <w:rPr>
          <w:rFonts w:ascii="Arial" w:hAnsi="Arial" w:cs="Arial"/>
          <w:sz w:val="22"/>
          <w:szCs w:val="22"/>
        </w:rPr>
      </w:pPr>
      <w:r w:rsidRPr="00F254B8">
        <w:rPr>
          <w:rFonts w:ascii="Arial" w:hAnsi="Arial" w:cs="Arial"/>
          <w:sz w:val="22"/>
          <w:szCs w:val="22"/>
        </w:rPr>
        <w:t xml:space="preserve">Léčivá látka: </w:t>
      </w:r>
    </w:p>
    <w:p w:rsidR="00927634" w:rsidRPr="00F254B8" w:rsidRDefault="00927634" w:rsidP="00927634">
      <w:pPr>
        <w:ind w:left="426" w:firstLine="283"/>
        <w:rPr>
          <w:rFonts w:ascii="Arial" w:hAnsi="Arial" w:cs="Arial"/>
          <w:sz w:val="22"/>
          <w:szCs w:val="22"/>
        </w:rPr>
      </w:pPr>
      <w:r w:rsidRPr="00F254B8">
        <w:rPr>
          <w:rFonts w:ascii="Arial" w:hAnsi="Arial" w:cs="Arial"/>
          <w:sz w:val="22"/>
          <w:szCs w:val="22"/>
        </w:rPr>
        <w:t>Doxycyclini hyclas</w:t>
      </w:r>
      <w:r w:rsidRPr="00F254B8">
        <w:rPr>
          <w:rFonts w:ascii="Arial" w:hAnsi="Arial" w:cs="Arial"/>
          <w:sz w:val="22"/>
          <w:szCs w:val="22"/>
        </w:rPr>
        <w:tab/>
        <w:t>500 mg</w:t>
      </w:r>
    </w:p>
    <w:p w:rsidR="00927634" w:rsidRPr="00F254B8" w:rsidRDefault="00927634" w:rsidP="00927634">
      <w:pPr>
        <w:ind w:left="426" w:firstLine="283"/>
        <w:rPr>
          <w:rFonts w:ascii="Arial" w:hAnsi="Arial" w:cs="Arial"/>
          <w:sz w:val="22"/>
          <w:szCs w:val="22"/>
        </w:rPr>
      </w:pPr>
      <w:r w:rsidRPr="00F254B8">
        <w:rPr>
          <w:rFonts w:ascii="Arial" w:hAnsi="Arial" w:cs="Arial"/>
          <w:sz w:val="22"/>
          <w:szCs w:val="22"/>
        </w:rPr>
        <w:t>(odpovídá 433,2 mg doxycyclinum)</w:t>
      </w:r>
    </w:p>
    <w:p w:rsidR="00927634" w:rsidRPr="00F254B8" w:rsidRDefault="00927634" w:rsidP="00927634">
      <w:pPr>
        <w:ind w:left="426" w:firstLine="283"/>
        <w:rPr>
          <w:rFonts w:ascii="Arial" w:hAnsi="Arial" w:cs="Arial"/>
          <w:sz w:val="22"/>
          <w:szCs w:val="22"/>
        </w:rPr>
      </w:pPr>
    </w:p>
    <w:p w:rsidR="00927634" w:rsidRPr="00F254B8" w:rsidRDefault="00927634" w:rsidP="00927634">
      <w:pPr>
        <w:ind w:left="426" w:firstLine="283"/>
        <w:rPr>
          <w:rFonts w:ascii="Arial" w:hAnsi="Arial" w:cs="Arial"/>
          <w:sz w:val="22"/>
          <w:szCs w:val="22"/>
        </w:rPr>
      </w:pPr>
      <w:r w:rsidRPr="00F254B8">
        <w:rPr>
          <w:rFonts w:ascii="Arial" w:hAnsi="Arial" w:cs="Arial"/>
          <w:sz w:val="22"/>
          <w:szCs w:val="22"/>
        </w:rPr>
        <w:t xml:space="preserve">Pomocné látky: </w:t>
      </w:r>
    </w:p>
    <w:p w:rsidR="00927634" w:rsidRPr="00F254B8" w:rsidRDefault="00927634" w:rsidP="00927634">
      <w:pPr>
        <w:ind w:left="426" w:firstLine="283"/>
        <w:rPr>
          <w:rFonts w:ascii="Arial" w:hAnsi="Arial" w:cs="Arial"/>
          <w:sz w:val="22"/>
          <w:szCs w:val="22"/>
        </w:rPr>
      </w:pPr>
      <w:r w:rsidRPr="00F254B8">
        <w:rPr>
          <w:rFonts w:ascii="Arial" w:hAnsi="Arial" w:cs="Arial"/>
          <w:sz w:val="22"/>
          <w:szCs w:val="22"/>
        </w:rPr>
        <w:t>Úplný seznam pomocných látek viz bod 6.1.</w:t>
      </w:r>
    </w:p>
    <w:p w:rsidR="00927634" w:rsidRPr="00F254B8" w:rsidRDefault="00927634" w:rsidP="00927634">
      <w:pPr>
        <w:ind w:left="426" w:hanging="426"/>
        <w:rPr>
          <w:rFonts w:ascii="Arial" w:hAnsi="Arial" w:cs="Arial"/>
          <w:b/>
          <w:bCs/>
          <w:sz w:val="22"/>
          <w:szCs w:val="22"/>
        </w:rPr>
      </w:pPr>
    </w:p>
    <w:p w:rsidR="00927634" w:rsidRPr="00F254B8" w:rsidRDefault="00927634" w:rsidP="00927634">
      <w:pPr>
        <w:keepNext/>
        <w:numPr>
          <w:ilvl w:val="0"/>
          <w:numId w:val="39"/>
        </w:numPr>
        <w:ind w:left="709" w:hanging="709"/>
        <w:rPr>
          <w:rFonts w:ascii="Arial" w:hAnsi="Arial" w:cs="Arial"/>
          <w:b/>
          <w:bCs/>
          <w:sz w:val="22"/>
          <w:szCs w:val="22"/>
        </w:rPr>
      </w:pPr>
      <w:r w:rsidRPr="00F254B8">
        <w:rPr>
          <w:rFonts w:ascii="Arial" w:hAnsi="Arial" w:cs="Arial"/>
          <w:b/>
          <w:bCs/>
          <w:sz w:val="22"/>
          <w:szCs w:val="22"/>
        </w:rPr>
        <w:t>LÉKOVÁ FORMA</w:t>
      </w:r>
    </w:p>
    <w:p w:rsidR="00927634" w:rsidRPr="00F254B8" w:rsidRDefault="00927634" w:rsidP="00927634">
      <w:pPr>
        <w:ind w:left="709"/>
        <w:rPr>
          <w:rFonts w:ascii="Arial" w:hAnsi="Arial" w:cs="Arial"/>
          <w:sz w:val="22"/>
          <w:szCs w:val="22"/>
        </w:rPr>
      </w:pPr>
      <w:r w:rsidRPr="00F254B8">
        <w:rPr>
          <w:rFonts w:ascii="Arial" w:hAnsi="Arial" w:cs="Arial"/>
          <w:sz w:val="22"/>
          <w:szCs w:val="22"/>
        </w:rPr>
        <w:t xml:space="preserve">Prášek pro podání v pitné vodě </w:t>
      </w:r>
    </w:p>
    <w:p w:rsidR="00927634" w:rsidRPr="00F254B8" w:rsidRDefault="00927634" w:rsidP="00927634">
      <w:pPr>
        <w:ind w:left="709"/>
        <w:rPr>
          <w:rFonts w:ascii="Arial" w:hAnsi="Arial" w:cs="Arial"/>
          <w:sz w:val="22"/>
          <w:szCs w:val="22"/>
        </w:rPr>
      </w:pPr>
      <w:r w:rsidRPr="00F254B8">
        <w:rPr>
          <w:rFonts w:ascii="Arial" w:hAnsi="Arial" w:cs="Arial"/>
          <w:sz w:val="22"/>
          <w:szCs w:val="22"/>
        </w:rPr>
        <w:t>Žlutý prášek</w:t>
      </w:r>
    </w:p>
    <w:p w:rsidR="00927634" w:rsidRPr="00F254B8" w:rsidRDefault="00927634" w:rsidP="00927634">
      <w:pPr>
        <w:ind w:left="426" w:hanging="426"/>
        <w:rPr>
          <w:rFonts w:ascii="Arial" w:hAnsi="Arial" w:cs="Arial"/>
          <w:sz w:val="22"/>
          <w:szCs w:val="22"/>
        </w:rPr>
      </w:pPr>
    </w:p>
    <w:p w:rsidR="00927634" w:rsidRPr="00F254B8" w:rsidRDefault="00927634" w:rsidP="00927634">
      <w:pPr>
        <w:keepNext/>
        <w:numPr>
          <w:ilvl w:val="0"/>
          <w:numId w:val="39"/>
        </w:numPr>
        <w:ind w:left="709" w:hanging="709"/>
        <w:rPr>
          <w:rFonts w:ascii="Arial" w:hAnsi="Arial" w:cs="Arial"/>
          <w:b/>
          <w:bCs/>
          <w:sz w:val="22"/>
          <w:szCs w:val="22"/>
        </w:rPr>
      </w:pPr>
      <w:r w:rsidRPr="00F254B8">
        <w:rPr>
          <w:rFonts w:ascii="Arial" w:hAnsi="Arial" w:cs="Arial"/>
          <w:b/>
          <w:bCs/>
          <w:sz w:val="22"/>
          <w:szCs w:val="22"/>
        </w:rPr>
        <w:t>KLINICKÉ ÚDAJE</w:t>
      </w: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4.1</w:t>
      </w:r>
      <w:r w:rsidRPr="00F254B8">
        <w:rPr>
          <w:rFonts w:ascii="Arial" w:hAnsi="Arial" w:cs="Arial"/>
          <w:b/>
          <w:bCs/>
          <w:sz w:val="22"/>
          <w:szCs w:val="22"/>
        </w:rPr>
        <w:tab/>
        <w:t>Cílové druhy zvířat</w:t>
      </w:r>
    </w:p>
    <w:p w:rsidR="00927634" w:rsidRPr="00F254B8" w:rsidRDefault="00927634" w:rsidP="00927634">
      <w:pPr>
        <w:ind w:left="709"/>
        <w:rPr>
          <w:rFonts w:ascii="Arial" w:hAnsi="Arial" w:cs="Arial"/>
          <w:sz w:val="22"/>
          <w:szCs w:val="22"/>
        </w:rPr>
      </w:pPr>
      <w:r w:rsidRPr="00F254B8">
        <w:rPr>
          <w:rFonts w:ascii="Arial" w:hAnsi="Arial" w:cs="Arial"/>
          <w:sz w:val="22"/>
          <w:szCs w:val="22"/>
        </w:rPr>
        <w:t>Prasata, brojleři kura domácího</w:t>
      </w:r>
    </w:p>
    <w:p w:rsidR="00927634" w:rsidRPr="00F254B8" w:rsidRDefault="00927634" w:rsidP="00927634">
      <w:pPr>
        <w:ind w:left="709"/>
        <w:rPr>
          <w:rFonts w:ascii="Arial" w:hAnsi="Arial" w:cs="Arial"/>
          <w:b/>
          <w:bCs/>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4.2</w:t>
      </w:r>
      <w:r w:rsidRPr="00F254B8">
        <w:rPr>
          <w:rFonts w:ascii="Arial" w:hAnsi="Arial" w:cs="Arial"/>
          <w:b/>
          <w:bCs/>
          <w:sz w:val="22"/>
          <w:szCs w:val="22"/>
        </w:rPr>
        <w:tab/>
        <w:t>Indikace s upřesněním pro cílový druh zvířat</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Léčba níže uvedených infekcí způsobených mikroorganismy citlivými k doxycyklinu:</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Prasata:</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w:t>
      </w:r>
      <w:r w:rsidRPr="00F254B8">
        <w:rPr>
          <w:rFonts w:ascii="Arial" w:hAnsi="Arial" w:cs="Arial"/>
          <w:sz w:val="22"/>
          <w:szCs w:val="22"/>
        </w:rPr>
        <w:tab/>
        <w:t xml:space="preserve">Atrofická rinitida způsobená </w:t>
      </w:r>
      <w:r w:rsidRPr="00F254B8">
        <w:rPr>
          <w:rFonts w:ascii="Arial" w:hAnsi="Arial" w:cs="Arial"/>
          <w:i/>
          <w:sz w:val="22"/>
          <w:szCs w:val="22"/>
        </w:rPr>
        <w:t>Pasteurella multocida</w:t>
      </w:r>
      <w:r w:rsidRPr="00F254B8">
        <w:rPr>
          <w:rFonts w:ascii="Arial" w:hAnsi="Arial" w:cs="Arial"/>
          <w:sz w:val="22"/>
          <w:szCs w:val="22"/>
        </w:rPr>
        <w:t xml:space="preserve"> a </w:t>
      </w:r>
      <w:r w:rsidRPr="00F254B8">
        <w:rPr>
          <w:rFonts w:ascii="Arial" w:hAnsi="Arial" w:cs="Arial"/>
          <w:i/>
          <w:sz w:val="22"/>
          <w:szCs w:val="22"/>
        </w:rPr>
        <w:t>Bordetella bronchiseptica</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w:t>
      </w:r>
      <w:r w:rsidRPr="00F254B8">
        <w:rPr>
          <w:rFonts w:ascii="Arial" w:hAnsi="Arial" w:cs="Arial"/>
          <w:sz w:val="22"/>
          <w:szCs w:val="22"/>
        </w:rPr>
        <w:tab/>
        <w:t xml:space="preserve">Bronchopneumonie způsobená </w:t>
      </w:r>
      <w:r w:rsidRPr="00F254B8">
        <w:rPr>
          <w:rFonts w:ascii="Arial" w:hAnsi="Arial" w:cs="Arial"/>
          <w:i/>
          <w:sz w:val="22"/>
          <w:szCs w:val="22"/>
        </w:rPr>
        <w:t>Pasteurella multocida</w:t>
      </w:r>
      <w:r w:rsidRPr="00F254B8">
        <w:rPr>
          <w:rFonts w:ascii="Arial" w:hAnsi="Arial" w:cs="Arial"/>
          <w:sz w:val="22"/>
          <w:szCs w:val="22"/>
        </w:rPr>
        <w:t xml:space="preserve">, </w:t>
      </w:r>
      <w:r w:rsidRPr="00F254B8">
        <w:rPr>
          <w:rFonts w:ascii="Arial" w:hAnsi="Arial" w:cs="Arial"/>
          <w:i/>
          <w:sz w:val="22"/>
          <w:szCs w:val="22"/>
        </w:rPr>
        <w:t>Streptococcus suis</w:t>
      </w:r>
    </w:p>
    <w:p w:rsidR="00927634" w:rsidRPr="00F254B8" w:rsidRDefault="00927634" w:rsidP="00927634">
      <w:pPr>
        <w:ind w:left="709"/>
        <w:jc w:val="both"/>
        <w:rPr>
          <w:rFonts w:ascii="Arial" w:hAnsi="Arial" w:cs="Arial"/>
          <w:i/>
          <w:sz w:val="22"/>
          <w:szCs w:val="22"/>
        </w:rPr>
      </w:pPr>
      <w:r w:rsidRPr="00F254B8">
        <w:rPr>
          <w:rFonts w:ascii="Arial" w:hAnsi="Arial" w:cs="Arial"/>
          <w:sz w:val="22"/>
          <w:szCs w:val="22"/>
        </w:rPr>
        <w:t>-</w:t>
      </w:r>
      <w:r w:rsidRPr="00F254B8">
        <w:rPr>
          <w:rFonts w:ascii="Arial" w:hAnsi="Arial" w:cs="Arial"/>
          <w:sz w:val="22"/>
          <w:szCs w:val="22"/>
        </w:rPr>
        <w:tab/>
        <w:t xml:space="preserve">Pleuropneumonie způsobená </w:t>
      </w:r>
      <w:r w:rsidRPr="00F254B8">
        <w:rPr>
          <w:rFonts w:ascii="Arial" w:hAnsi="Arial" w:cs="Arial"/>
          <w:i/>
          <w:sz w:val="22"/>
          <w:szCs w:val="22"/>
        </w:rPr>
        <w:t>Actinobacillus pleuropneumoniae</w:t>
      </w:r>
    </w:p>
    <w:p w:rsidR="00927634" w:rsidRPr="00F254B8" w:rsidRDefault="00927634" w:rsidP="00927634">
      <w:pPr>
        <w:ind w:left="709"/>
        <w:jc w:val="both"/>
        <w:rPr>
          <w:rFonts w:ascii="Arial" w:hAnsi="Arial" w:cs="Arial"/>
          <w:i/>
          <w:sz w:val="22"/>
          <w:szCs w:val="22"/>
        </w:rPr>
      </w:pPr>
      <w:r w:rsidRPr="00F254B8">
        <w:rPr>
          <w:rFonts w:ascii="Arial" w:hAnsi="Arial" w:cs="Arial"/>
          <w:i/>
          <w:sz w:val="22"/>
          <w:szCs w:val="22"/>
        </w:rPr>
        <w:t>-</w:t>
      </w:r>
      <w:r w:rsidRPr="00F254B8">
        <w:rPr>
          <w:rFonts w:ascii="Arial" w:hAnsi="Arial" w:cs="Arial"/>
          <w:i/>
          <w:sz w:val="22"/>
          <w:szCs w:val="22"/>
        </w:rPr>
        <w:tab/>
      </w:r>
      <w:r w:rsidRPr="00F254B8">
        <w:rPr>
          <w:rFonts w:ascii="Arial" w:hAnsi="Arial" w:cs="Arial"/>
          <w:sz w:val="22"/>
          <w:szCs w:val="22"/>
        </w:rPr>
        <w:t>Kolibacilóza způsobená</w:t>
      </w:r>
      <w:r w:rsidRPr="00F254B8">
        <w:rPr>
          <w:rFonts w:ascii="Arial" w:hAnsi="Arial" w:cs="Arial"/>
          <w:i/>
          <w:sz w:val="22"/>
          <w:szCs w:val="22"/>
        </w:rPr>
        <w:t xml:space="preserve"> Escherichia coli</w:t>
      </w:r>
    </w:p>
    <w:p w:rsidR="00927634" w:rsidRPr="00F254B8" w:rsidRDefault="00927634" w:rsidP="00927634">
      <w:pPr>
        <w:ind w:left="709"/>
        <w:jc w:val="both"/>
        <w:rPr>
          <w:rFonts w:ascii="Arial" w:hAnsi="Arial" w:cs="Arial"/>
          <w:sz w:val="22"/>
          <w:szCs w:val="22"/>
        </w:rPr>
      </w:pPr>
      <w:r w:rsidRPr="00F254B8">
        <w:rPr>
          <w:rFonts w:ascii="Arial" w:hAnsi="Arial" w:cs="Arial"/>
          <w:i/>
          <w:sz w:val="22"/>
          <w:szCs w:val="22"/>
        </w:rPr>
        <w:t>-</w:t>
      </w:r>
      <w:r w:rsidRPr="00F254B8">
        <w:rPr>
          <w:rFonts w:ascii="Arial" w:hAnsi="Arial" w:cs="Arial"/>
          <w:i/>
          <w:sz w:val="22"/>
          <w:szCs w:val="22"/>
        </w:rPr>
        <w:tab/>
      </w:r>
      <w:r w:rsidRPr="00F254B8">
        <w:rPr>
          <w:rFonts w:ascii="Arial" w:hAnsi="Arial" w:cs="Arial"/>
          <w:sz w:val="22"/>
          <w:szCs w:val="22"/>
        </w:rPr>
        <w:t>Glässerova choroba způsobená</w:t>
      </w:r>
      <w:r w:rsidRPr="00F254B8">
        <w:rPr>
          <w:rFonts w:ascii="Arial" w:hAnsi="Arial" w:cs="Arial"/>
          <w:i/>
          <w:sz w:val="22"/>
          <w:szCs w:val="22"/>
        </w:rPr>
        <w:t xml:space="preserve"> Haemophilus parasuis</w:t>
      </w:r>
    </w:p>
    <w:p w:rsidR="00927634" w:rsidRPr="00F254B8" w:rsidRDefault="00927634" w:rsidP="00927634">
      <w:pPr>
        <w:ind w:left="709"/>
        <w:jc w:val="both"/>
        <w:rPr>
          <w:rFonts w:ascii="Arial" w:hAnsi="Arial" w:cs="Arial"/>
          <w:sz w:val="22"/>
          <w:szCs w:val="22"/>
        </w:rPr>
      </w:pP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Brojleři kura domácího:</w:t>
      </w:r>
    </w:p>
    <w:p w:rsidR="00927634" w:rsidRPr="00F254B8" w:rsidRDefault="00927634" w:rsidP="00927634">
      <w:pPr>
        <w:ind w:left="1418" w:hanging="709"/>
        <w:jc w:val="both"/>
        <w:rPr>
          <w:rFonts w:ascii="Arial" w:hAnsi="Arial" w:cs="Arial"/>
          <w:sz w:val="22"/>
          <w:szCs w:val="22"/>
        </w:rPr>
      </w:pPr>
      <w:r w:rsidRPr="00F254B8">
        <w:rPr>
          <w:rFonts w:ascii="Arial" w:hAnsi="Arial" w:cs="Arial"/>
          <w:sz w:val="22"/>
          <w:szCs w:val="22"/>
        </w:rPr>
        <w:t>-</w:t>
      </w:r>
      <w:r w:rsidRPr="00F254B8">
        <w:rPr>
          <w:rFonts w:ascii="Arial" w:hAnsi="Arial" w:cs="Arial"/>
          <w:sz w:val="22"/>
          <w:szCs w:val="22"/>
        </w:rPr>
        <w:tab/>
        <w:t xml:space="preserve">Infekce respiračního traktu vyvolané </w:t>
      </w:r>
      <w:r w:rsidRPr="00F254B8">
        <w:rPr>
          <w:rFonts w:ascii="Arial" w:hAnsi="Arial" w:cs="Arial"/>
          <w:i/>
          <w:iCs/>
          <w:sz w:val="22"/>
          <w:szCs w:val="22"/>
        </w:rPr>
        <w:t xml:space="preserve">Escherichia coli, </w:t>
      </w:r>
      <w:r w:rsidRPr="00F254B8">
        <w:rPr>
          <w:rFonts w:ascii="Arial" w:hAnsi="Arial" w:cs="Arial"/>
          <w:i/>
          <w:sz w:val="22"/>
          <w:szCs w:val="22"/>
        </w:rPr>
        <w:t xml:space="preserve">Bordetella avium </w:t>
      </w:r>
      <w:r w:rsidRPr="00F254B8">
        <w:rPr>
          <w:rFonts w:ascii="Arial" w:hAnsi="Arial" w:cs="Arial"/>
          <w:sz w:val="22"/>
          <w:szCs w:val="22"/>
        </w:rPr>
        <w:t>a </w:t>
      </w:r>
      <w:r w:rsidRPr="00F254B8">
        <w:rPr>
          <w:rFonts w:ascii="Arial" w:hAnsi="Arial" w:cs="Arial"/>
          <w:i/>
          <w:sz w:val="22"/>
          <w:szCs w:val="22"/>
        </w:rPr>
        <w:t>Ornithobacterium rhinotracheale</w:t>
      </w:r>
    </w:p>
    <w:p w:rsidR="00927634" w:rsidRPr="00F254B8" w:rsidRDefault="00927634" w:rsidP="00927634">
      <w:pPr>
        <w:ind w:left="709"/>
        <w:jc w:val="both"/>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4.3</w:t>
      </w:r>
      <w:r w:rsidRPr="00F254B8">
        <w:rPr>
          <w:rFonts w:ascii="Arial" w:hAnsi="Arial" w:cs="Arial"/>
          <w:b/>
          <w:bCs/>
          <w:sz w:val="22"/>
          <w:szCs w:val="22"/>
        </w:rPr>
        <w:tab/>
        <w:t>Kontraindikace</w:t>
      </w:r>
    </w:p>
    <w:p w:rsidR="00927634" w:rsidRPr="00F254B8" w:rsidRDefault="00927634" w:rsidP="00927634">
      <w:pPr>
        <w:tabs>
          <w:tab w:val="num" w:pos="1440"/>
        </w:tabs>
        <w:ind w:left="709"/>
        <w:rPr>
          <w:rFonts w:ascii="Arial" w:hAnsi="Arial" w:cs="Arial"/>
          <w:sz w:val="22"/>
          <w:szCs w:val="22"/>
        </w:rPr>
      </w:pPr>
      <w:r w:rsidRPr="00F254B8">
        <w:rPr>
          <w:rFonts w:ascii="Arial" w:hAnsi="Arial" w:cs="Arial"/>
          <w:sz w:val="22"/>
          <w:szCs w:val="22"/>
        </w:rPr>
        <w:t xml:space="preserve">Nepoužívat u nosnic, jejichž vejce jsou určena pro lidskou spotřebu. </w:t>
      </w:r>
    </w:p>
    <w:p w:rsidR="00927634" w:rsidRPr="00F254B8" w:rsidRDefault="00927634" w:rsidP="00927634">
      <w:pPr>
        <w:tabs>
          <w:tab w:val="num" w:pos="1440"/>
        </w:tabs>
        <w:ind w:left="709"/>
        <w:rPr>
          <w:rFonts w:ascii="Arial" w:hAnsi="Arial" w:cs="Arial"/>
          <w:sz w:val="22"/>
          <w:szCs w:val="22"/>
        </w:rPr>
      </w:pPr>
      <w:r w:rsidRPr="00F254B8">
        <w:rPr>
          <w:rFonts w:ascii="Arial" w:hAnsi="Arial" w:cs="Arial"/>
          <w:sz w:val="22"/>
          <w:szCs w:val="22"/>
        </w:rPr>
        <w:t>Nepodávat zvířatům při poruchách příjmu vody.</w:t>
      </w:r>
    </w:p>
    <w:p w:rsidR="00927634" w:rsidRPr="00F254B8" w:rsidRDefault="00927634" w:rsidP="00927634">
      <w:pPr>
        <w:tabs>
          <w:tab w:val="num" w:pos="1440"/>
        </w:tabs>
        <w:ind w:left="709"/>
        <w:rPr>
          <w:rFonts w:ascii="Arial" w:hAnsi="Arial" w:cs="Arial"/>
          <w:sz w:val="22"/>
          <w:szCs w:val="22"/>
        </w:rPr>
      </w:pPr>
      <w:r w:rsidRPr="00F254B8">
        <w:rPr>
          <w:rFonts w:ascii="Arial" w:hAnsi="Arial" w:cs="Arial"/>
          <w:sz w:val="22"/>
          <w:szCs w:val="22"/>
        </w:rPr>
        <w:t>Nepodávat zvířatům se závažným poškozením jater nebo nedostatečnou funkcí ledvin.</w:t>
      </w:r>
    </w:p>
    <w:p w:rsidR="00927634" w:rsidRPr="00F254B8" w:rsidRDefault="00927634" w:rsidP="00927634">
      <w:pPr>
        <w:tabs>
          <w:tab w:val="num" w:pos="1440"/>
        </w:tabs>
        <w:ind w:left="709"/>
        <w:rPr>
          <w:rFonts w:ascii="Arial" w:hAnsi="Arial" w:cs="Arial"/>
          <w:sz w:val="22"/>
          <w:szCs w:val="22"/>
        </w:rPr>
      </w:pPr>
      <w:r w:rsidRPr="00F254B8">
        <w:rPr>
          <w:rFonts w:ascii="Arial" w:hAnsi="Arial" w:cs="Arial"/>
          <w:sz w:val="22"/>
          <w:szCs w:val="22"/>
        </w:rPr>
        <w:t>Nepodávat v případě přecitlivělosti na tetracykliny.</w:t>
      </w:r>
    </w:p>
    <w:p w:rsidR="00927634" w:rsidRPr="00F254B8" w:rsidRDefault="00927634" w:rsidP="00927634">
      <w:pPr>
        <w:tabs>
          <w:tab w:val="num" w:pos="1440"/>
        </w:tabs>
        <w:ind w:left="709"/>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4.4</w:t>
      </w:r>
      <w:r w:rsidRPr="00F254B8">
        <w:rPr>
          <w:rFonts w:ascii="Arial" w:hAnsi="Arial" w:cs="Arial"/>
          <w:b/>
          <w:bCs/>
          <w:sz w:val="22"/>
          <w:szCs w:val="22"/>
        </w:rPr>
        <w:tab/>
        <w:t>Zvláštní upozornění pro každý cílový druh</w:t>
      </w:r>
    </w:p>
    <w:p w:rsidR="00927634" w:rsidRPr="00F254B8" w:rsidRDefault="00927634" w:rsidP="00927634">
      <w:pPr>
        <w:pStyle w:val="Zkladntextodsazen3"/>
        <w:ind w:left="709"/>
        <w:rPr>
          <w:rFonts w:ascii="Arial" w:hAnsi="Arial" w:cs="Arial"/>
          <w:sz w:val="22"/>
          <w:szCs w:val="22"/>
        </w:rPr>
      </w:pPr>
      <w:r w:rsidRPr="00F254B8">
        <w:rPr>
          <w:rFonts w:ascii="Arial" w:hAnsi="Arial" w:cs="Arial"/>
          <w:sz w:val="22"/>
          <w:szCs w:val="22"/>
        </w:rPr>
        <w:t>Nejsou.</w:t>
      </w:r>
    </w:p>
    <w:p w:rsidR="00927634" w:rsidRPr="00F254B8" w:rsidRDefault="00927634" w:rsidP="00927634">
      <w:pPr>
        <w:tabs>
          <w:tab w:val="num" w:pos="1440"/>
        </w:tabs>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4.5</w:t>
      </w:r>
      <w:r w:rsidRPr="00F254B8">
        <w:rPr>
          <w:rFonts w:ascii="Arial" w:hAnsi="Arial" w:cs="Arial"/>
          <w:b/>
          <w:bCs/>
          <w:sz w:val="22"/>
          <w:szCs w:val="22"/>
        </w:rPr>
        <w:tab/>
        <w:t>Zvláštní opatření pro použití</w:t>
      </w:r>
    </w:p>
    <w:p w:rsidR="00927634" w:rsidRPr="00F254B8" w:rsidRDefault="00927634" w:rsidP="00927634">
      <w:pPr>
        <w:pStyle w:val="Zkladntextodsazen3"/>
        <w:keepNext/>
        <w:ind w:left="709"/>
        <w:rPr>
          <w:rFonts w:ascii="Arial" w:hAnsi="Arial" w:cs="Arial"/>
          <w:sz w:val="22"/>
          <w:szCs w:val="22"/>
          <w:u w:val="single"/>
        </w:rPr>
      </w:pPr>
      <w:r w:rsidRPr="00F254B8">
        <w:rPr>
          <w:rFonts w:ascii="Arial" w:hAnsi="Arial" w:cs="Arial"/>
          <w:bCs/>
          <w:sz w:val="22"/>
          <w:szCs w:val="22"/>
          <w:u w:val="single"/>
        </w:rPr>
        <w:t>Zvláštní opatření pro použití u zvířat</w:t>
      </w:r>
    </w:p>
    <w:p w:rsidR="00927634" w:rsidRPr="00F254B8" w:rsidRDefault="00927634" w:rsidP="00927634">
      <w:pPr>
        <w:pStyle w:val="Zkladntextodsazen3"/>
        <w:ind w:left="709"/>
        <w:jc w:val="both"/>
        <w:rPr>
          <w:rFonts w:ascii="Arial" w:hAnsi="Arial" w:cs="Arial"/>
          <w:bCs/>
          <w:sz w:val="24"/>
          <w:szCs w:val="22"/>
        </w:rPr>
      </w:pPr>
      <w:r w:rsidRPr="00F254B8">
        <w:rPr>
          <w:rFonts w:ascii="Arial" w:hAnsi="Arial" w:cs="Arial"/>
          <w:sz w:val="22"/>
        </w:rPr>
        <w:t>Při použití přípravku je nutno vzít v úvahu oficiální a místní pravidla antibiotické politiky.</w:t>
      </w:r>
    </w:p>
    <w:p w:rsidR="00927634" w:rsidRPr="00F254B8" w:rsidRDefault="00927634" w:rsidP="00927634">
      <w:pPr>
        <w:pStyle w:val="Zkladntextodsazen3"/>
        <w:ind w:left="709"/>
        <w:jc w:val="both"/>
        <w:rPr>
          <w:rFonts w:ascii="Arial" w:hAnsi="Arial" w:cs="Arial"/>
          <w:bCs/>
          <w:sz w:val="22"/>
          <w:szCs w:val="22"/>
        </w:rPr>
      </w:pPr>
      <w:r w:rsidRPr="00F254B8">
        <w:rPr>
          <w:rFonts w:ascii="Arial" w:hAnsi="Arial" w:cs="Arial"/>
          <w:bCs/>
          <w:sz w:val="22"/>
          <w:szCs w:val="22"/>
        </w:rPr>
        <w:t xml:space="preserve">Kvůli pravděpodobné variabilitě (čas, zeměpisné faktory) v citlivosti bakterií k doxycyklinu se důrazně doporučuje provést odběr bakteriologických vzorků a testování citlivosti mikroorganismů získaných z nemocných zvířat v chovu. Pokud to </w:t>
      </w:r>
      <w:r w:rsidRPr="00F254B8">
        <w:rPr>
          <w:rFonts w:ascii="Arial" w:hAnsi="Arial" w:cs="Arial"/>
          <w:bCs/>
          <w:sz w:val="22"/>
          <w:szCs w:val="22"/>
        </w:rPr>
        <w:lastRenderedPageBreak/>
        <w:t>není možné, je nutné založit terapii na místních (regionální, na úrovni farmy) epizootologických informacích o citlivosti cílové bakterie.</w:t>
      </w:r>
    </w:p>
    <w:p w:rsidR="00927634" w:rsidRPr="00F254B8" w:rsidRDefault="00927634" w:rsidP="00927634">
      <w:pPr>
        <w:pStyle w:val="Zkladntextodsazen3"/>
        <w:ind w:left="709"/>
        <w:jc w:val="both"/>
        <w:rPr>
          <w:rFonts w:ascii="Arial" w:hAnsi="Arial" w:cs="Arial"/>
          <w:sz w:val="22"/>
          <w:szCs w:val="22"/>
        </w:rPr>
      </w:pPr>
      <w:r w:rsidRPr="00F254B8">
        <w:rPr>
          <w:rFonts w:ascii="Arial" w:hAnsi="Arial" w:cs="Arial"/>
          <w:sz w:val="22"/>
          <w:szCs w:val="22"/>
        </w:rPr>
        <w:t xml:space="preserve">Byla zaznamenána vysoká prevalence rezistence u </w:t>
      </w:r>
      <w:r w:rsidRPr="00F254B8">
        <w:rPr>
          <w:rFonts w:ascii="Arial" w:hAnsi="Arial" w:cs="Arial"/>
          <w:i/>
          <w:iCs/>
          <w:sz w:val="22"/>
          <w:szCs w:val="22"/>
        </w:rPr>
        <w:t xml:space="preserve">E. coli, </w:t>
      </w:r>
      <w:r w:rsidRPr="00F254B8">
        <w:rPr>
          <w:rFonts w:ascii="Arial" w:hAnsi="Arial" w:cs="Arial"/>
          <w:iCs/>
          <w:sz w:val="22"/>
          <w:szCs w:val="22"/>
        </w:rPr>
        <w:t>izolované z kura domácího,</w:t>
      </w:r>
      <w:r w:rsidRPr="00F254B8">
        <w:rPr>
          <w:rFonts w:ascii="Arial" w:hAnsi="Arial" w:cs="Arial"/>
          <w:i/>
          <w:iCs/>
          <w:sz w:val="22"/>
          <w:szCs w:val="22"/>
        </w:rPr>
        <w:t xml:space="preserve"> </w:t>
      </w:r>
      <w:r w:rsidRPr="00F254B8">
        <w:rPr>
          <w:rFonts w:ascii="Arial" w:hAnsi="Arial" w:cs="Arial"/>
          <w:sz w:val="22"/>
          <w:szCs w:val="22"/>
        </w:rPr>
        <w:t>k tetracyklinům. Rezistence k tetracyklinům byla také hlášena v některých zemích EU u respiračních patogenů prasat (</w:t>
      </w:r>
      <w:r w:rsidRPr="00F254B8">
        <w:rPr>
          <w:rFonts w:ascii="Arial" w:hAnsi="Arial" w:cs="Arial"/>
          <w:i/>
          <w:iCs/>
          <w:sz w:val="22"/>
          <w:szCs w:val="22"/>
        </w:rPr>
        <w:t>A. pleuropneumoniae, S. suis</w:t>
      </w:r>
      <w:r w:rsidRPr="00F254B8">
        <w:rPr>
          <w:rFonts w:ascii="Arial" w:hAnsi="Arial" w:cs="Arial"/>
          <w:sz w:val="22"/>
          <w:szCs w:val="22"/>
        </w:rPr>
        <w:t>) a patogenů drůbeže (</w:t>
      </w:r>
      <w:r w:rsidRPr="00F254B8">
        <w:rPr>
          <w:rFonts w:ascii="Arial" w:hAnsi="Arial" w:cs="Arial"/>
          <w:i/>
          <w:sz w:val="22"/>
          <w:szCs w:val="22"/>
        </w:rPr>
        <w:t>Ornithobacterium rhinotracheale</w:t>
      </w:r>
      <w:r w:rsidRPr="00F254B8">
        <w:rPr>
          <w:rFonts w:ascii="Arial" w:hAnsi="Arial" w:cs="Arial"/>
          <w:sz w:val="22"/>
          <w:szCs w:val="22"/>
        </w:rPr>
        <w:t xml:space="preserve">). Proto by tento přípravek měl být používán až po testování citlivosti a to pouze u kmenů, kde </w:t>
      </w:r>
      <w:r w:rsidRPr="00F254B8">
        <w:rPr>
          <w:rFonts w:ascii="Arial" w:hAnsi="Arial" w:cs="Arial"/>
          <w:i/>
          <w:sz w:val="22"/>
          <w:szCs w:val="22"/>
        </w:rPr>
        <w:t>in vitro</w:t>
      </w:r>
      <w:r w:rsidRPr="00F254B8">
        <w:rPr>
          <w:rFonts w:ascii="Arial" w:hAnsi="Arial" w:cs="Arial"/>
          <w:sz w:val="22"/>
          <w:szCs w:val="22"/>
        </w:rPr>
        <w:t xml:space="preserve"> výsledky testování indikují MIC nižší než koncentrace dosažené v cílových tkáních doporučeným terapeutickým režimem (viz též informace v bodech 5.1 a 5.2). </w:t>
      </w:r>
    </w:p>
    <w:p w:rsidR="00927634" w:rsidRPr="00F254B8" w:rsidRDefault="00927634" w:rsidP="00927634">
      <w:pPr>
        <w:pStyle w:val="Zkladntextodsazen3"/>
        <w:ind w:left="709"/>
        <w:jc w:val="both"/>
        <w:rPr>
          <w:rFonts w:ascii="Arial" w:hAnsi="Arial" w:cs="Arial"/>
          <w:sz w:val="22"/>
          <w:szCs w:val="22"/>
        </w:rPr>
      </w:pPr>
      <w:r w:rsidRPr="00F254B8">
        <w:rPr>
          <w:rFonts w:ascii="Arial" w:hAnsi="Arial" w:cs="Arial"/>
          <w:sz w:val="22"/>
          <w:szCs w:val="22"/>
        </w:rPr>
        <w:t>Použití přípravku, které je odlišné od pokynů uvedených v tomto souhrnu údajů o přípravku (SPC), může zvýšit prevalenci bakterií rezistentních k doxycyklinu a snížit účinnost terapie ostatními tetracykliny z důvodu možné zkřížené rezistence.</w:t>
      </w:r>
    </w:p>
    <w:p w:rsidR="00927634" w:rsidRPr="00F254B8" w:rsidRDefault="00927634" w:rsidP="00927634">
      <w:pPr>
        <w:pStyle w:val="Zkladntextodsazen3"/>
        <w:ind w:left="709"/>
        <w:jc w:val="both"/>
        <w:rPr>
          <w:rFonts w:ascii="Arial" w:hAnsi="Arial" w:cs="Arial"/>
          <w:bCs/>
          <w:sz w:val="22"/>
          <w:szCs w:val="22"/>
        </w:rPr>
      </w:pPr>
      <w:r w:rsidRPr="00F254B8">
        <w:rPr>
          <w:rFonts w:ascii="Arial" w:hAnsi="Arial" w:cs="Arial"/>
          <w:bCs/>
          <w:sz w:val="22"/>
          <w:szCs w:val="22"/>
        </w:rPr>
        <w:t>Protože nemusí být dosaženo eradikace cílových patogenů, je zapotřebí léčbu kombinovat s dobrou zoohygienickou praxí, např. dobrou hygienou, správným větráním a dostatkem prostoru pro zvířata.</w:t>
      </w:r>
    </w:p>
    <w:p w:rsidR="00927634" w:rsidRPr="00F254B8" w:rsidRDefault="00927634" w:rsidP="00927634">
      <w:pPr>
        <w:ind w:left="709"/>
        <w:jc w:val="both"/>
        <w:rPr>
          <w:rFonts w:ascii="Arial" w:hAnsi="Arial" w:cs="Arial"/>
          <w:sz w:val="22"/>
          <w:szCs w:val="22"/>
        </w:rPr>
      </w:pPr>
    </w:p>
    <w:p w:rsidR="00927634" w:rsidRPr="00F254B8" w:rsidRDefault="00927634" w:rsidP="00927634">
      <w:pPr>
        <w:pStyle w:val="Zkladntextodsazen3"/>
        <w:keepNext/>
        <w:ind w:left="709"/>
        <w:jc w:val="both"/>
        <w:rPr>
          <w:rFonts w:ascii="Arial" w:hAnsi="Arial" w:cs="Arial"/>
          <w:bCs/>
          <w:sz w:val="22"/>
          <w:szCs w:val="22"/>
          <w:u w:val="single"/>
        </w:rPr>
      </w:pPr>
      <w:r w:rsidRPr="00F254B8">
        <w:rPr>
          <w:rFonts w:ascii="Arial" w:hAnsi="Arial" w:cs="Arial"/>
          <w:bCs/>
          <w:sz w:val="22"/>
          <w:szCs w:val="22"/>
          <w:u w:val="single"/>
        </w:rPr>
        <w:t>Zvláštní opatření určené osobám, které podávají veterinární léčivý přípravek zvířatům</w:t>
      </w:r>
    </w:p>
    <w:p w:rsidR="00927634" w:rsidRPr="00F254B8" w:rsidRDefault="00927634" w:rsidP="00927634">
      <w:pPr>
        <w:pStyle w:val="Zkladntextodsazen3"/>
        <w:ind w:left="709"/>
        <w:jc w:val="both"/>
        <w:rPr>
          <w:rFonts w:ascii="Arial" w:hAnsi="Arial" w:cs="Arial"/>
          <w:sz w:val="22"/>
          <w:szCs w:val="22"/>
          <w:shd w:val="clear" w:color="auto" w:fill="FFFFFF"/>
        </w:rPr>
      </w:pPr>
      <w:r w:rsidRPr="00F254B8">
        <w:rPr>
          <w:rFonts w:ascii="Arial" w:hAnsi="Arial" w:cs="Arial"/>
          <w:sz w:val="22"/>
          <w:szCs w:val="22"/>
          <w:shd w:val="clear" w:color="auto" w:fill="FFFFFF"/>
        </w:rPr>
        <w:t xml:space="preserve">Lidé se známou přecitlivělostí na tetracykliny by se měli vyhnout kontaktu s veterinárním léčivým přípravkem. </w:t>
      </w:r>
    </w:p>
    <w:p w:rsidR="00927634" w:rsidRPr="00F254B8" w:rsidRDefault="00927634" w:rsidP="00927634">
      <w:pPr>
        <w:pStyle w:val="Zkladntextodsazen3"/>
        <w:ind w:left="709"/>
        <w:jc w:val="both"/>
        <w:rPr>
          <w:rFonts w:ascii="Arial" w:hAnsi="Arial" w:cs="Arial"/>
          <w:sz w:val="22"/>
          <w:szCs w:val="22"/>
          <w:shd w:val="clear" w:color="auto" w:fill="FFFFFF"/>
        </w:rPr>
      </w:pPr>
      <w:r w:rsidRPr="00F254B8">
        <w:rPr>
          <w:rFonts w:ascii="Arial" w:hAnsi="Arial" w:cs="Arial"/>
          <w:sz w:val="22"/>
          <w:szCs w:val="22"/>
          <w:shd w:val="clear" w:color="auto" w:fill="FFFFFF"/>
        </w:rPr>
        <w:t xml:space="preserve">Přípravek používejte v dobře větraných prostorách a zamezte vytváření prachu a vdechování prachových částic. </w:t>
      </w:r>
    </w:p>
    <w:p w:rsidR="00927634" w:rsidRPr="00F254B8" w:rsidRDefault="00927634" w:rsidP="00927634">
      <w:pPr>
        <w:pStyle w:val="Zkladntextodsazen3"/>
        <w:ind w:left="709"/>
        <w:jc w:val="both"/>
        <w:rPr>
          <w:rFonts w:ascii="Arial" w:hAnsi="Arial" w:cs="Arial"/>
          <w:sz w:val="22"/>
          <w:szCs w:val="22"/>
          <w:shd w:val="clear" w:color="auto" w:fill="FFFFFF"/>
        </w:rPr>
      </w:pPr>
      <w:r w:rsidRPr="00F254B8">
        <w:rPr>
          <w:rFonts w:ascii="Arial" w:hAnsi="Arial" w:cs="Arial"/>
          <w:sz w:val="22"/>
          <w:szCs w:val="22"/>
          <w:shd w:val="clear" w:color="auto" w:fill="FFFFFF"/>
        </w:rPr>
        <w:t>Při manipulaci s přípravkem nejezte, nepijte a nekuřte.</w:t>
      </w:r>
    </w:p>
    <w:p w:rsidR="00927634" w:rsidRPr="00F254B8" w:rsidRDefault="00927634" w:rsidP="00927634">
      <w:pPr>
        <w:pStyle w:val="Zkladntextodsazen3"/>
        <w:ind w:left="709"/>
        <w:jc w:val="both"/>
        <w:rPr>
          <w:rFonts w:ascii="Arial" w:hAnsi="Arial" w:cs="Arial"/>
          <w:sz w:val="22"/>
          <w:szCs w:val="22"/>
          <w:shd w:val="clear" w:color="auto" w:fill="FFFFFF"/>
        </w:rPr>
      </w:pPr>
      <w:r w:rsidRPr="00F254B8">
        <w:rPr>
          <w:rFonts w:ascii="Arial" w:hAnsi="Arial" w:cs="Arial"/>
          <w:sz w:val="22"/>
          <w:szCs w:val="22"/>
          <w:shd w:val="clear" w:color="auto" w:fill="FFFFFF"/>
        </w:rPr>
        <w:t>Zabraňte kontaktu přípravku s kůží, očima a sliznicemi.</w:t>
      </w:r>
    </w:p>
    <w:p w:rsidR="00927634" w:rsidRPr="00F254B8" w:rsidRDefault="00927634" w:rsidP="00927634">
      <w:pPr>
        <w:pStyle w:val="Zkladntextodsazen3"/>
        <w:ind w:left="709"/>
        <w:jc w:val="both"/>
        <w:rPr>
          <w:rFonts w:ascii="Arial" w:hAnsi="Arial" w:cs="Arial"/>
          <w:sz w:val="22"/>
          <w:szCs w:val="22"/>
          <w:shd w:val="clear" w:color="auto" w:fill="FFFFFF"/>
        </w:rPr>
      </w:pPr>
      <w:r w:rsidRPr="00F254B8">
        <w:rPr>
          <w:rFonts w:ascii="Arial" w:hAnsi="Arial" w:cs="Arial"/>
          <w:sz w:val="22"/>
          <w:szCs w:val="22"/>
          <w:shd w:val="clear" w:color="auto" w:fill="FFFFFF"/>
        </w:rPr>
        <w:t>Při nakládání s veterinárním léčivým přípravkem by se měly používat osobní ochranné prostředky skládající se z ochranného pláště, nepropustných rukavic, brýlí a respirátoru. Použijte buď jednorázový respirátor vyhovující normě EN149 nebo respirátor pro více použití vyhovující normě EN140 vybavený filtrem podle normy EN143.</w:t>
      </w:r>
    </w:p>
    <w:p w:rsidR="00927634" w:rsidRPr="00F254B8" w:rsidRDefault="00927634" w:rsidP="00927634">
      <w:pPr>
        <w:pStyle w:val="Zkladntextodsazen3"/>
        <w:ind w:left="709"/>
        <w:jc w:val="both"/>
        <w:rPr>
          <w:rFonts w:ascii="Arial" w:hAnsi="Arial" w:cs="Arial"/>
          <w:sz w:val="22"/>
          <w:szCs w:val="22"/>
          <w:shd w:val="clear" w:color="auto" w:fill="FFFFFF"/>
        </w:rPr>
      </w:pPr>
      <w:r w:rsidRPr="00F254B8">
        <w:rPr>
          <w:rFonts w:ascii="Arial" w:hAnsi="Arial" w:cs="Arial"/>
          <w:sz w:val="22"/>
          <w:szCs w:val="22"/>
          <w:shd w:val="clear" w:color="auto" w:fill="FFFFFF"/>
        </w:rPr>
        <w:t xml:space="preserve">V případě náhodného potřísnění kůže nebo kontaktu se sliznicemi opláchněte ihned zasaženou oblast velkým množstvím vody. </w:t>
      </w:r>
    </w:p>
    <w:p w:rsidR="00927634" w:rsidRPr="00F254B8" w:rsidRDefault="00927634" w:rsidP="00927634">
      <w:pPr>
        <w:pStyle w:val="Zkladntextodsazen3"/>
        <w:ind w:left="709"/>
        <w:jc w:val="both"/>
        <w:rPr>
          <w:rFonts w:ascii="Arial" w:hAnsi="Arial" w:cs="Arial"/>
          <w:sz w:val="22"/>
          <w:szCs w:val="22"/>
          <w:shd w:val="clear" w:color="auto" w:fill="FFFFFF"/>
        </w:rPr>
      </w:pPr>
      <w:r w:rsidRPr="00F254B8">
        <w:rPr>
          <w:rFonts w:ascii="Arial" w:hAnsi="Arial" w:cs="Arial"/>
          <w:sz w:val="22"/>
          <w:szCs w:val="22"/>
          <w:shd w:val="clear" w:color="auto" w:fill="FFFFFF"/>
        </w:rPr>
        <w:t xml:space="preserve">V případě náhodného kontaktu s očima je ihned vypláchněte velkým množstvím čisté vody. Dojde-li k podráždění, vyhledejte lékařskou pomoc a ukažte lékaři toto upozornění. </w:t>
      </w:r>
    </w:p>
    <w:p w:rsidR="00927634" w:rsidRPr="00F254B8" w:rsidRDefault="00927634" w:rsidP="00927634">
      <w:pPr>
        <w:pStyle w:val="Zkladntextodsazen3"/>
        <w:ind w:left="709"/>
        <w:jc w:val="both"/>
        <w:rPr>
          <w:rFonts w:ascii="Arial" w:hAnsi="Arial" w:cs="Arial"/>
          <w:sz w:val="22"/>
          <w:szCs w:val="22"/>
          <w:shd w:val="clear" w:color="auto" w:fill="FFFFFF"/>
        </w:rPr>
      </w:pPr>
      <w:r w:rsidRPr="00F254B8">
        <w:rPr>
          <w:rFonts w:ascii="Arial" w:hAnsi="Arial" w:cs="Arial"/>
          <w:sz w:val="22"/>
          <w:szCs w:val="22"/>
          <w:shd w:val="clear" w:color="auto" w:fill="FFFFFF"/>
        </w:rPr>
        <w:t>V případě náhodného pozření, nebo pokud se u vás projeví příznaky jako například kožní vyrážka, vyhledejte lékařskou pomoc a ukažte lékaři toto upozornění.</w:t>
      </w:r>
    </w:p>
    <w:p w:rsidR="00927634" w:rsidRPr="00F254B8" w:rsidRDefault="00927634" w:rsidP="00927634">
      <w:pPr>
        <w:pStyle w:val="Zkladntextodsazen3"/>
        <w:ind w:left="0" w:firstLine="709"/>
        <w:jc w:val="both"/>
        <w:rPr>
          <w:rFonts w:ascii="Arial" w:hAnsi="Arial" w:cs="Arial"/>
          <w:sz w:val="22"/>
          <w:szCs w:val="22"/>
          <w:shd w:val="clear" w:color="auto" w:fill="FFFFFF"/>
        </w:rPr>
      </w:pPr>
      <w:r w:rsidRPr="00F254B8">
        <w:rPr>
          <w:rFonts w:ascii="Arial" w:hAnsi="Arial" w:cs="Arial"/>
          <w:sz w:val="22"/>
          <w:szCs w:val="22"/>
          <w:shd w:val="clear" w:color="auto" w:fill="FFFFFF"/>
        </w:rPr>
        <w:t>Po použití si umyjte ruce.</w:t>
      </w:r>
    </w:p>
    <w:p w:rsidR="00927634" w:rsidRPr="00F254B8" w:rsidRDefault="00927634" w:rsidP="00927634">
      <w:pPr>
        <w:pStyle w:val="Zkladntextodsazen3"/>
        <w:ind w:left="0"/>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4.6</w:t>
      </w:r>
      <w:r w:rsidRPr="00F254B8">
        <w:rPr>
          <w:rFonts w:ascii="Arial" w:hAnsi="Arial" w:cs="Arial"/>
          <w:b/>
          <w:bCs/>
          <w:sz w:val="22"/>
          <w:szCs w:val="22"/>
        </w:rPr>
        <w:tab/>
        <w:t>Nežádoucí účinky (frekvence a závažnost)</w:t>
      </w:r>
    </w:p>
    <w:p w:rsidR="00927634" w:rsidRPr="00F254B8" w:rsidRDefault="00927634" w:rsidP="00927634">
      <w:pPr>
        <w:pStyle w:val="Zkladntextodsazen3"/>
        <w:ind w:left="709"/>
        <w:jc w:val="both"/>
        <w:rPr>
          <w:rFonts w:ascii="Arial" w:hAnsi="Arial" w:cs="Arial"/>
          <w:sz w:val="22"/>
          <w:szCs w:val="22"/>
        </w:rPr>
      </w:pPr>
      <w:r w:rsidRPr="00F254B8">
        <w:rPr>
          <w:rFonts w:ascii="Arial" w:hAnsi="Arial" w:cs="Arial"/>
          <w:sz w:val="22"/>
          <w:szCs w:val="22"/>
        </w:rPr>
        <w:t>Doxycyklin má nízkou toxicitu a nežádoucí účinky jsou sporadické. Při podání na lačno se může objevit nausea nebo zvracení. Při dodržení dávkování a doby léčby se nežádoucí účinky nevyskytují.</w:t>
      </w:r>
    </w:p>
    <w:p w:rsidR="00927634" w:rsidRPr="00F254B8" w:rsidRDefault="00927634" w:rsidP="00927634">
      <w:pPr>
        <w:pStyle w:val="Zkladntextodsazen3"/>
        <w:ind w:left="709"/>
        <w:jc w:val="both"/>
        <w:rPr>
          <w:rFonts w:ascii="Arial" w:hAnsi="Arial" w:cs="Arial"/>
          <w:sz w:val="22"/>
          <w:szCs w:val="22"/>
        </w:rPr>
      </w:pPr>
      <w:r w:rsidRPr="00F254B8">
        <w:rPr>
          <w:rFonts w:ascii="Arial" w:hAnsi="Arial" w:cs="Arial"/>
          <w:sz w:val="22"/>
          <w:szCs w:val="22"/>
        </w:rPr>
        <w:t>Tetracykliny mohou ve velmi vzácných případech vyvolat hypersenzitivitu nebo fotosenzitivitu. V případě výskytu nežádoucích účinků je nutné léčbu přerušit.</w:t>
      </w:r>
    </w:p>
    <w:p w:rsidR="00927634" w:rsidRPr="00F254B8" w:rsidRDefault="00927634" w:rsidP="00927634">
      <w:pPr>
        <w:pStyle w:val="Zkladntextodsazen3"/>
        <w:ind w:left="0"/>
        <w:rPr>
          <w:rFonts w:ascii="Arial" w:hAnsi="Arial" w:cs="Arial"/>
          <w:sz w:val="22"/>
          <w:szCs w:val="22"/>
        </w:rPr>
      </w:pPr>
    </w:p>
    <w:p w:rsidR="00927634" w:rsidRPr="00F254B8" w:rsidRDefault="00927634" w:rsidP="00927634">
      <w:pPr>
        <w:pStyle w:val="Zkladntextodsazen3"/>
        <w:ind w:left="709"/>
        <w:rPr>
          <w:rFonts w:ascii="Arial" w:hAnsi="Arial" w:cs="Arial"/>
          <w:sz w:val="22"/>
          <w:szCs w:val="22"/>
        </w:rPr>
      </w:pPr>
      <w:r w:rsidRPr="00F254B8">
        <w:rPr>
          <w:rFonts w:ascii="Arial" w:hAnsi="Arial" w:cs="Arial"/>
          <w:sz w:val="22"/>
          <w:szCs w:val="22"/>
        </w:rPr>
        <w:t>Četnost nežádoucích účinků je charakterizována podle následujících pravidel:</w:t>
      </w:r>
    </w:p>
    <w:p w:rsidR="00927634" w:rsidRPr="00F254B8" w:rsidRDefault="00927634" w:rsidP="00927634">
      <w:pPr>
        <w:pStyle w:val="Zkladntextodsazen3"/>
        <w:ind w:left="851" w:hanging="142"/>
        <w:rPr>
          <w:rFonts w:ascii="Arial" w:hAnsi="Arial" w:cs="Arial"/>
          <w:sz w:val="22"/>
          <w:szCs w:val="22"/>
        </w:rPr>
      </w:pPr>
      <w:r w:rsidRPr="00F254B8">
        <w:rPr>
          <w:rFonts w:ascii="Arial" w:hAnsi="Arial" w:cs="Arial"/>
          <w:sz w:val="22"/>
          <w:szCs w:val="22"/>
        </w:rPr>
        <w:lastRenderedPageBreak/>
        <w:t>- velmi časté (nežádoucí účinek(nky) se projevil(y) u více než 1 z 10 ošetřených zvířat)</w:t>
      </w:r>
    </w:p>
    <w:p w:rsidR="00927634" w:rsidRPr="00F254B8" w:rsidRDefault="00927634" w:rsidP="00927634">
      <w:pPr>
        <w:pStyle w:val="Zkladntextodsazen3"/>
        <w:ind w:left="709"/>
        <w:rPr>
          <w:rFonts w:ascii="Arial" w:hAnsi="Arial" w:cs="Arial"/>
          <w:sz w:val="22"/>
          <w:szCs w:val="22"/>
        </w:rPr>
      </w:pPr>
      <w:r w:rsidRPr="00F254B8">
        <w:rPr>
          <w:rFonts w:ascii="Arial" w:hAnsi="Arial" w:cs="Arial"/>
          <w:sz w:val="22"/>
          <w:szCs w:val="22"/>
        </w:rPr>
        <w:t>- časté (u více než 1, ale méně než 10 ze 100 ošetřených zvířat)</w:t>
      </w:r>
    </w:p>
    <w:p w:rsidR="00927634" w:rsidRPr="00F254B8" w:rsidRDefault="00927634" w:rsidP="00927634">
      <w:pPr>
        <w:pStyle w:val="Zkladntextodsazen3"/>
        <w:ind w:left="709"/>
        <w:rPr>
          <w:rFonts w:ascii="Arial" w:hAnsi="Arial" w:cs="Arial"/>
          <w:sz w:val="22"/>
          <w:szCs w:val="22"/>
        </w:rPr>
      </w:pPr>
      <w:r w:rsidRPr="00F254B8">
        <w:rPr>
          <w:rFonts w:ascii="Arial" w:hAnsi="Arial" w:cs="Arial"/>
          <w:sz w:val="22"/>
          <w:szCs w:val="22"/>
        </w:rPr>
        <w:t>- neobvyklé (u více než 1, ale méně než 10 z 1000 ošetřených zvířat)</w:t>
      </w:r>
    </w:p>
    <w:p w:rsidR="00927634" w:rsidRPr="00F254B8" w:rsidRDefault="00927634" w:rsidP="00927634">
      <w:pPr>
        <w:pStyle w:val="Zkladntextodsazen3"/>
        <w:ind w:left="709"/>
        <w:rPr>
          <w:rFonts w:ascii="Arial" w:hAnsi="Arial" w:cs="Arial"/>
          <w:sz w:val="22"/>
          <w:szCs w:val="22"/>
        </w:rPr>
      </w:pPr>
      <w:r w:rsidRPr="00F254B8">
        <w:rPr>
          <w:rFonts w:ascii="Arial" w:hAnsi="Arial" w:cs="Arial"/>
          <w:sz w:val="22"/>
          <w:szCs w:val="22"/>
        </w:rPr>
        <w:t>- vzácné (u více než 1, ale méně než 10 z 10000 ošetřených zvířat)</w:t>
      </w:r>
    </w:p>
    <w:p w:rsidR="00927634" w:rsidRPr="00F254B8" w:rsidRDefault="00927634" w:rsidP="00927634">
      <w:pPr>
        <w:pStyle w:val="Zkladntextodsazen3"/>
        <w:ind w:left="709"/>
        <w:rPr>
          <w:rFonts w:ascii="Arial" w:hAnsi="Arial" w:cs="Arial"/>
          <w:sz w:val="22"/>
          <w:szCs w:val="22"/>
        </w:rPr>
      </w:pPr>
      <w:r w:rsidRPr="00F254B8">
        <w:rPr>
          <w:rFonts w:ascii="Arial" w:hAnsi="Arial" w:cs="Arial"/>
          <w:sz w:val="22"/>
          <w:szCs w:val="22"/>
        </w:rPr>
        <w:t>- velmi vzácné (u méně než 1 z 10000 ošetřených zvířat, včetně ojedinělých hlášení).</w:t>
      </w:r>
    </w:p>
    <w:p w:rsidR="00927634" w:rsidRPr="00F254B8" w:rsidRDefault="00927634" w:rsidP="00927634">
      <w:pPr>
        <w:pStyle w:val="Zkladntextodsazen3"/>
        <w:ind w:left="0"/>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4.7</w:t>
      </w:r>
      <w:r w:rsidRPr="00F254B8">
        <w:rPr>
          <w:rFonts w:ascii="Arial" w:hAnsi="Arial" w:cs="Arial"/>
          <w:b/>
          <w:bCs/>
          <w:sz w:val="22"/>
          <w:szCs w:val="22"/>
        </w:rPr>
        <w:tab/>
        <w:t>Použití v průběhu březosti, laktace nebo snášky</w:t>
      </w:r>
    </w:p>
    <w:p w:rsidR="00927634" w:rsidRPr="00F254B8" w:rsidRDefault="00927634" w:rsidP="00927634">
      <w:pPr>
        <w:keepNext/>
        <w:ind w:left="709"/>
        <w:jc w:val="both"/>
        <w:rPr>
          <w:rFonts w:ascii="Arial" w:hAnsi="Arial" w:cs="Arial"/>
          <w:sz w:val="22"/>
          <w:szCs w:val="22"/>
          <w:u w:val="single"/>
        </w:rPr>
      </w:pPr>
      <w:r w:rsidRPr="00F254B8">
        <w:rPr>
          <w:rFonts w:ascii="Arial" w:hAnsi="Arial" w:cs="Arial"/>
          <w:sz w:val="22"/>
          <w:szCs w:val="22"/>
          <w:u w:val="single"/>
        </w:rPr>
        <w:t>Březost a laktace:</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Laboratorní studie nepodaly důkaz o teratogenním a fetotoxickém účinku, ani o maternální toxicitě.</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U březích a laktujících zvířat podávat jen se zvýšenou opatrností. Použít pouze po</w:t>
      </w:r>
      <w:r w:rsidR="00F254B8">
        <w:rPr>
          <w:rFonts w:ascii="Arial" w:hAnsi="Arial" w:cs="Arial"/>
          <w:sz w:val="22"/>
          <w:szCs w:val="22"/>
        </w:rPr>
        <w:t> </w:t>
      </w:r>
      <w:r w:rsidRPr="00F254B8">
        <w:rPr>
          <w:rFonts w:ascii="Arial" w:hAnsi="Arial" w:cs="Arial"/>
          <w:sz w:val="22"/>
          <w:szCs w:val="22"/>
        </w:rPr>
        <w:t>zvážení terapeutického prospěchu a rizika příslušným veterinárním lékařem.</w:t>
      </w:r>
    </w:p>
    <w:p w:rsidR="00927634" w:rsidRPr="00F254B8" w:rsidRDefault="00927634" w:rsidP="00927634">
      <w:pPr>
        <w:ind w:left="709"/>
        <w:jc w:val="both"/>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4.8</w:t>
      </w:r>
      <w:r w:rsidRPr="00F254B8">
        <w:rPr>
          <w:rFonts w:ascii="Arial" w:hAnsi="Arial" w:cs="Arial"/>
          <w:b/>
          <w:bCs/>
          <w:sz w:val="22"/>
          <w:szCs w:val="22"/>
        </w:rPr>
        <w:tab/>
        <w:t>Interakce s dalšími léčivými přípravky a další formy interakce</w:t>
      </w:r>
    </w:p>
    <w:p w:rsidR="00927634" w:rsidRPr="00F254B8" w:rsidRDefault="00927634" w:rsidP="00927634">
      <w:pPr>
        <w:tabs>
          <w:tab w:val="num" w:pos="1440"/>
        </w:tabs>
        <w:ind w:left="709"/>
        <w:jc w:val="both"/>
        <w:rPr>
          <w:rFonts w:ascii="Arial" w:hAnsi="Arial" w:cs="Arial"/>
          <w:sz w:val="22"/>
          <w:szCs w:val="22"/>
        </w:rPr>
      </w:pPr>
      <w:r w:rsidRPr="00F254B8">
        <w:rPr>
          <w:rFonts w:ascii="Arial" w:hAnsi="Arial" w:cs="Arial"/>
          <w:sz w:val="22"/>
          <w:szCs w:val="22"/>
        </w:rPr>
        <w:t xml:space="preserve">K nežádoucím interakcím dochází při styku s polyvalentními kationty. </w:t>
      </w:r>
    </w:p>
    <w:p w:rsidR="00927634" w:rsidRPr="00F254B8" w:rsidRDefault="00927634" w:rsidP="00927634">
      <w:pPr>
        <w:tabs>
          <w:tab w:val="num" w:pos="1440"/>
        </w:tabs>
        <w:ind w:left="709"/>
        <w:jc w:val="both"/>
        <w:rPr>
          <w:rFonts w:ascii="Arial" w:hAnsi="Arial" w:cs="Arial"/>
          <w:sz w:val="22"/>
          <w:szCs w:val="22"/>
        </w:rPr>
      </w:pPr>
      <w:r w:rsidRPr="00F254B8">
        <w:rPr>
          <w:rFonts w:ascii="Arial" w:hAnsi="Arial" w:cs="Arial"/>
          <w:sz w:val="22"/>
          <w:szCs w:val="22"/>
        </w:rPr>
        <w:t>Nepodávat současně s baktericidními antibiotiky, např. beta-laktamovými antibiotiky (peniciliny a cefalosporiny) a aminoglykosidy.</w:t>
      </w:r>
    </w:p>
    <w:p w:rsidR="00927634" w:rsidRPr="00F254B8" w:rsidRDefault="00927634" w:rsidP="00927634">
      <w:pPr>
        <w:tabs>
          <w:tab w:val="num" w:pos="1440"/>
        </w:tabs>
        <w:ind w:left="709"/>
        <w:jc w:val="both"/>
        <w:rPr>
          <w:rFonts w:ascii="Arial" w:hAnsi="Arial" w:cs="Arial"/>
          <w:sz w:val="22"/>
          <w:szCs w:val="22"/>
        </w:rPr>
      </w:pPr>
      <w:r w:rsidRPr="00F254B8">
        <w:rPr>
          <w:rFonts w:ascii="Arial" w:hAnsi="Arial" w:cs="Arial"/>
          <w:sz w:val="22"/>
          <w:szCs w:val="22"/>
        </w:rPr>
        <w:t>Je známé potencování účinku tiamulinem a valnemulinem.</w:t>
      </w:r>
    </w:p>
    <w:p w:rsidR="00927634" w:rsidRPr="00F254B8" w:rsidRDefault="00927634" w:rsidP="00927634">
      <w:pPr>
        <w:tabs>
          <w:tab w:val="num" w:pos="1440"/>
        </w:tabs>
        <w:ind w:left="709"/>
        <w:jc w:val="both"/>
        <w:rPr>
          <w:rFonts w:ascii="Arial" w:hAnsi="Arial" w:cs="Arial"/>
          <w:sz w:val="22"/>
          <w:szCs w:val="22"/>
        </w:rPr>
      </w:pPr>
      <w:r w:rsidRPr="00F254B8">
        <w:rPr>
          <w:rFonts w:ascii="Arial" w:hAnsi="Arial" w:cs="Arial"/>
          <w:sz w:val="22"/>
          <w:szCs w:val="22"/>
        </w:rPr>
        <w:t>Absorpce doxycyklinu může být snížena za přítomnosti velkého množství vápníku, železa, hořčíku a hliníku v krmivu.</w:t>
      </w:r>
    </w:p>
    <w:p w:rsidR="00927634" w:rsidRPr="00F254B8" w:rsidRDefault="00927634" w:rsidP="00927634">
      <w:pPr>
        <w:tabs>
          <w:tab w:val="num" w:pos="1440"/>
        </w:tabs>
        <w:ind w:left="709"/>
        <w:jc w:val="both"/>
        <w:rPr>
          <w:rFonts w:ascii="Arial" w:hAnsi="Arial" w:cs="Arial"/>
          <w:sz w:val="22"/>
          <w:szCs w:val="22"/>
        </w:rPr>
      </w:pPr>
      <w:r w:rsidRPr="00F254B8">
        <w:rPr>
          <w:rFonts w:ascii="Arial" w:hAnsi="Arial" w:cs="Arial"/>
          <w:sz w:val="22"/>
          <w:szCs w:val="22"/>
        </w:rPr>
        <w:t>Doxycyklin zvyšuje účinek antikoagulačních přípravků.</w:t>
      </w:r>
    </w:p>
    <w:p w:rsidR="00927634" w:rsidRPr="00F254B8" w:rsidRDefault="00927634" w:rsidP="00927634">
      <w:pPr>
        <w:tabs>
          <w:tab w:val="num" w:pos="1440"/>
        </w:tabs>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4.9</w:t>
      </w:r>
      <w:r w:rsidRPr="00F254B8">
        <w:rPr>
          <w:rFonts w:ascii="Arial" w:hAnsi="Arial" w:cs="Arial"/>
          <w:b/>
          <w:bCs/>
          <w:sz w:val="22"/>
          <w:szCs w:val="22"/>
        </w:rPr>
        <w:tab/>
        <w:t>Podávané množství a způsob podání</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Perorální podání v pitné vodě.</w:t>
      </w:r>
    </w:p>
    <w:p w:rsidR="00927634" w:rsidRPr="00F254B8" w:rsidRDefault="00927634" w:rsidP="00927634">
      <w:pPr>
        <w:ind w:left="709"/>
        <w:jc w:val="both"/>
        <w:rPr>
          <w:rFonts w:ascii="Arial" w:hAnsi="Arial" w:cs="Arial"/>
          <w:sz w:val="22"/>
          <w:szCs w:val="22"/>
        </w:rPr>
      </w:pPr>
    </w:p>
    <w:p w:rsidR="00927634" w:rsidRPr="00F254B8" w:rsidRDefault="00927634" w:rsidP="00927634">
      <w:pPr>
        <w:keepNext/>
        <w:ind w:left="709"/>
        <w:jc w:val="both"/>
        <w:rPr>
          <w:rFonts w:ascii="Arial" w:hAnsi="Arial" w:cs="Arial"/>
          <w:sz w:val="22"/>
          <w:szCs w:val="22"/>
          <w:u w:val="single"/>
        </w:rPr>
      </w:pPr>
      <w:r w:rsidRPr="00F254B8">
        <w:rPr>
          <w:rFonts w:ascii="Arial" w:hAnsi="Arial" w:cs="Arial"/>
          <w:sz w:val="22"/>
          <w:szCs w:val="22"/>
          <w:u w:val="single"/>
        </w:rPr>
        <w:t xml:space="preserve">Prasata: </w:t>
      </w:r>
    </w:p>
    <w:p w:rsidR="00927634" w:rsidRPr="00F254B8" w:rsidRDefault="00927634" w:rsidP="00927634">
      <w:pPr>
        <w:numPr>
          <w:ilvl w:val="0"/>
          <w:numId w:val="40"/>
        </w:numPr>
        <w:ind w:left="1134" w:hanging="283"/>
        <w:jc w:val="both"/>
        <w:rPr>
          <w:rFonts w:ascii="Arial" w:hAnsi="Arial" w:cs="Arial"/>
          <w:sz w:val="22"/>
          <w:szCs w:val="22"/>
        </w:rPr>
      </w:pPr>
      <w:r w:rsidRPr="00F254B8">
        <w:rPr>
          <w:rFonts w:ascii="Arial" w:hAnsi="Arial" w:cs="Arial"/>
          <w:sz w:val="22"/>
          <w:szCs w:val="22"/>
        </w:rPr>
        <w:t>10 mg doxycyklin hyklátu (20 mg přípravku)/kg ž. hm./den po dobu 3–5 po sobě jdoucích dnů.</w:t>
      </w:r>
    </w:p>
    <w:p w:rsidR="00927634" w:rsidRPr="00F254B8" w:rsidRDefault="00927634" w:rsidP="00927634">
      <w:pPr>
        <w:ind w:left="709"/>
        <w:jc w:val="both"/>
        <w:rPr>
          <w:rFonts w:ascii="Arial" w:hAnsi="Arial" w:cs="Arial"/>
          <w:sz w:val="22"/>
          <w:szCs w:val="22"/>
        </w:rPr>
      </w:pPr>
    </w:p>
    <w:p w:rsidR="00927634" w:rsidRPr="00F254B8" w:rsidRDefault="00927634" w:rsidP="00927634">
      <w:pPr>
        <w:keepNext/>
        <w:ind w:left="709"/>
        <w:jc w:val="both"/>
        <w:rPr>
          <w:rFonts w:ascii="Arial" w:hAnsi="Arial" w:cs="Arial"/>
          <w:sz w:val="22"/>
          <w:szCs w:val="22"/>
          <w:u w:val="single"/>
        </w:rPr>
      </w:pPr>
      <w:r w:rsidRPr="00F254B8">
        <w:rPr>
          <w:rFonts w:ascii="Arial" w:hAnsi="Arial" w:cs="Arial"/>
          <w:sz w:val="22"/>
          <w:szCs w:val="22"/>
          <w:u w:val="single"/>
        </w:rPr>
        <w:t xml:space="preserve">Brojleři kura domácího: </w:t>
      </w:r>
    </w:p>
    <w:p w:rsidR="00927634" w:rsidRPr="00F254B8" w:rsidRDefault="00927634" w:rsidP="00927634">
      <w:pPr>
        <w:ind w:left="1134" w:hanging="283"/>
        <w:jc w:val="both"/>
        <w:rPr>
          <w:rFonts w:ascii="Arial" w:hAnsi="Arial" w:cs="Arial"/>
          <w:sz w:val="22"/>
          <w:szCs w:val="22"/>
        </w:rPr>
      </w:pPr>
      <w:r w:rsidRPr="00F254B8">
        <w:rPr>
          <w:rFonts w:ascii="Arial" w:hAnsi="Arial" w:cs="Arial"/>
          <w:sz w:val="22"/>
          <w:szCs w:val="22"/>
        </w:rPr>
        <w:t>-</w:t>
      </w:r>
      <w:r w:rsidRPr="00F254B8">
        <w:rPr>
          <w:rFonts w:ascii="Arial" w:hAnsi="Arial" w:cs="Arial"/>
          <w:sz w:val="22"/>
          <w:szCs w:val="22"/>
        </w:rPr>
        <w:tab/>
        <w:t xml:space="preserve">20 mg doxycyklin hyklátu (40 mg přípravku)/kg ž. hm./den po dobu 3–4 po sobě jdoucích dnů v případě infekce způsobené </w:t>
      </w:r>
      <w:r w:rsidRPr="00F254B8">
        <w:rPr>
          <w:rFonts w:ascii="Arial" w:hAnsi="Arial" w:cs="Arial"/>
          <w:i/>
          <w:sz w:val="22"/>
          <w:szCs w:val="22"/>
        </w:rPr>
        <w:t>O. rhinotracheale.</w:t>
      </w:r>
    </w:p>
    <w:p w:rsidR="00927634" w:rsidRPr="00F254B8" w:rsidRDefault="00927634" w:rsidP="00927634">
      <w:pPr>
        <w:ind w:left="1134" w:hanging="283"/>
        <w:jc w:val="both"/>
        <w:rPr>
          <w:rFonts w:ascii="Arial" w:hAnsi="Arial" w:cs="Arial"/>
          <w:sz w:val="22"/>
          <w:szCs w:val="22"/>
        </w:rPr>
      </w:pPr>
      <w:r w:rsidRPr="00F254B8">
        <w:rPr>
          <w:rFonts w:ascii="Arial" w:hAnsi="Arial" w:cs="Arial"/>
          <w:sz w:val="22"/>
          <w:szCs w:val="22"/>
        </w:rPr>
        <w:t>-</w:t>
      </w:r>
      <w:r w:rsidRPr="00F254B8">
        <w:rPr>
          <w:rFonts w:ascii="Arial" w:hAnsi="Arial" w:cs="Arial"/>
          <w:sz w:val="22"/>
          <w:szCs w:val="22"/>
        </w:rPr>
        <w:tab/>
        <w:t xml:space="preserve">25 mg doxycyklin hyklátu (50 mg přípravku)/kg ž. hm./den po dobu 3–5 po sobě jdoucích dnů v případě infekcí způsobených </w:t>
      </w:r>
      <w:r w:rsidRPr="00F254B8">
        <w:rPr>
          <w:rFonts w:ascii="Arial" w:hAnsi="Arial" w:cs="Arial"/>
          <w:i/>
          <w:sz w:val="22"/>
          <w:szCs w:val="22"/>
        </w:rPr>
        <w:t>E. coli</w:t>
      </w:r>
      <w:r w:rsidRPr="00F254B8">
        <w:rPr>
          <w:rFonts w:ascii="Arial" w:hAnsi="Arial" w:cs="Arial"/>
          <w:sz w:val="22"/>
          <w:szCs w:val="22"/>
        </w:rPr>
        <w:t xml:space="preserve">, </w:t>
      </w:r>
      <w:r w:rsidRPr="00F254B8">
        <w:rPr>
          <w:rFonts w:ascii="Arial" w:hAnsi="Arial" w:cs="Arial"/>
          <w:i/>
          <w:sz w:val="22"/>
          <w:szCs w:val="22"/>
        </w:rPr>
        <w:t>B. avium.</w:t>
      </w:r>
    </w:p>
    <w:p w:rsidR="00927634" w:rsidRPr="00F254B8" w:rsidRDefault="00927634" w:rsidP="00927634">
      <w:pPr>
        <w:ind w:left="709"/>
        <w:jc w:val="both"/>
        <w:rPr>
          <w:rFonts w:ascii="Arial" w:hAnsi="Arial" w:cs="Arial"/>
          <w:sz w:val="22"/>
          <w:szCs w:val="22"/>
        </w:rPr>
      </w:pPr>
    </w:p>
    <w:p w:rsidR="00927634" w:rsidRPr="00F254B8" w:rsidRDefault="00927634" w:rsidP="00927634">
      <w:pPr>
        <w:ind w:left="709"/>
        <w:rPr>
          <w:rFonts w:ascii="Arial" w:hAnsi="Arial" w:cs="Arial"/>
          <w:sz w:val="22"/>
          <w:szCs w:val="22"/>
        </w:rPr>
      </w:pPr>
      <w:r w:rsidRPr="00F254B8">
        <w:rPr>
          <w:rFonts w:ascii="Arial" w:hAnsi="Arial" w:cs="Arial"/>
          <w:sz w:val="22"/>
          <w:szCs w:val="22"/>
        </w:rPr>
        <w:t>Na základě doporučené dávky, počtu a hmotnosti léčených zvířat je třeba vypočítat přesné denní množství přípravku podle následujícího vzorce:</w:t>
      </w:r>
    </w:p>
    <w:p w:rsidR="00927634" w:rsidRPr="00F254B8" w:rsidRDefault="00927634" w:rsidP="00927634">
      <w:pPr>
        <w:ind w:left="709"/>
        <w:rPr>
          <w:rFonts w:ascii="Arial" w:hAnsi="Arial" w:cs="Arial"/>
          <w:sz w:val="22"/>
          <w:szCs w:val="22"/>
        </w:rPr>
      </w:pPr>
    </w:p>
    <w:tbl>
      <w:tblPr>
        <w:tblW w:w="8670" w:type="dxa"/>
        <w:tblInd w:w="648" w:type="dxa"/>
        <w:shd w:val="clear" w:color="auto" w:fill="FFFFFF"/>
        <w:tblLayout w:type="fixed"/>
        <w:tblLook w:val="04A0" w:firstRow="1" w:lastRow="0" w:firstColumn="1" w:lastColumn="0" w:noHBand="0" w:noVBand="1"/>
      </w:tblPr>
      <w:tblGrid>
        <w:gridCol w:w="2578"/>
        <w:gridCol w:w="425"/>
        <w:gridCol w:w="2125"/>
        <w:gridCol w:w="426"/>
        <w:gridCol w:w="3116"/>
      </w:tblGrid>
      <w:tr w:rsidR="00927634" w:rsidRPr="00F254B8" w:rsidTr="00927634">
        <w:trPr>
          <w:trHeight w:val="388"/>
        </w:trPr>
        <w:tc>
          <w:tcPr>
            <w:tcW w:w="2579" w:type="dxa"/>
            <w:tcBorders>
              <w:top w:val="nil"/>
              <w:left w:val="nil"/>
              <w:bottom w:val="single" w:sz="4" w:space="0" w:color="000000"/>
              <w:right w:val="nil"/>
            </w:tcBorders>
            <w:shd w:val="clear" w:color="auto" w:fill="FFFFFF"/>
            <w:vAlign w:val="center"/>
          </w:tcPr>
          <w:p w:rsidR="00927634" w:rsidRPr="00F254B8" w:rsidRDefault="00927634">
            <w:pPr>
              <w:pStyle w:val="Default"/>
              <w:spacing w:after="20"/>
              <w:ind w:left="-108"/>
              <w:jc w:val="center"/>
              <w:rPr>
                <w:rFonts w:ascii="Arial" w:hAnsi="Arial" w:cs="Arial"/>
                <w:color w:val="auto"/>
                <w:sz w:val="22"/>
                <w:szCs w:val="22"/>
              </w:rPr>
            </w:pPr>
            <w:r w:rsidRPr="00F254B8">
              <w:rPr>
                <w:rFonts w:ascii="Arial" w:hAnsi="Arial" w:cs="Arial"/>
                <w:color w:val="auto"/>
                <w:sz w:val="22"/>
                <w:szCs w:val="22"/>
              </w:rPr>
              <w:t>...mg přípravku/kg živé hmotnosti/den</w:t>
            </w:r>
          </w:p>
        </w:tc>
        <w:tc>
          <w:tcPr>
            <w:tcW w:w="425" w:type="dxa"/>
            <w:tcBorders>
              <w:top w:val="nil"/>
              <w:left w:val="nil"/>
              <w:bottom w:val="single" w:sz="4" w:space="0" w:color="000000"/>
              <w:right w:val="nil"/>
            </w:tcBorders>
            <w:shd w:val="clear" w:color="auto" w:fill="FFFFFF"/>
            <w:vAlign w:val="center"/>
          </w:tcPr>
          <w:p w:rsidR="00927634" w:rsidRPr="00F254B8" w:rsidRDefault="00927634">
            <w:pPr>
              <w:pStyle w:val="Default"/>
              <w:spacing w:after="20"/>
              <w:ind w:left="-108" w:right="-108"/>
              <w:jc w:val="center"/>
              <w:rPr>
                <w:rFonts w:ascii="Arial" w:hAnsi="Arial" w:cs="Arial"/>
                <w:color w:val="auto"/>
                <w:sz w:val="22"/>
                <w:szCs w:val="22"/>
              </w:rPr>
            </w:pPr>
            <w:r w:rsidRPr="00F254B8">
              <w:rPr>
                <w:rFonts w:ascii="Arial" w:hAnsi="Arial" w:cs="Arial"/>
                <w:color w:val="auto"/>
                <w:sz w:val="22"/>
                <w:szCs w:val="22"/>
              </w:rPr>
              <w:t>x</w:t>
            </w:r>
          </w:p>
        </w:tc>
        <w:tc>
          <w:tcPr>
            <w:tcW w:w="2126" w:type="dxa"/>
            <w:tcBorders>
              <w:top w:val="nil"/>
              <w:left w:val="nil"/>
              <w:bottom w:val="single" w:sz="4" w:space="0" w:color="000000"/>
              <w:right w:val="nil"/>
            </w:tcBorders>
            <w:shd w:val="clear" w:color="auto" w:fill="FFFFFF"/>
            <w:vAlign w:val="center"/>
          </w:tcPr>
          <w:p w:rsidR="00927634" w:rsidRPr="00F254B8" w:rsidRDefault="00927634">
            <w:pPr>
              <w:pStyle w:val="Default"/>
              <w:spacing w:after="20"/>
              <w:jc w:val="center"/>
              <w:rPr>
                <w:rFonts w:ascii="Arial" w:hAnsi="Arial" w:cs="Arial"/>
                <w:color w:val="auto"/>
                <w:sz w:val="22"/>
                <w:szCs w:val="22"/>
              </w:rPr>
            </w:pPr>
            <w:r w:rsidRPr="00F254B8">
              <w:rPr>
                <w:rFonts w:ascii="Arial" w:hAnsi="Arial" w:cs="Arial"/>
                <w:color w:val="auto"/>
                <w:sz w:val="22"/>
                <w:szCs w:val="22"/>
              </w:rPr>
              <w:t>průměrná živá hmotnost (kg) léčených zvířat</w:t>
            </w:r>
          </w:p>
        </w:tc>
        <w:tc>
          <w:tcPr>
            <w:tcW w:w="426" w:type="dxa"/>
            <w:vMerge w:val="restart"/>
            <w:shd w:val="clear" w:color="auto" w:fill="FFFFFF"/>
          </w:tcPr>
          <w:p w:rsidR="00927634" w:rsidRPr="00F254B8" w:rsidRDefault="00927634">
            <w:pPr>
              <w:pStyle w:val="Default"/>
              <w:spacing w:after="140"/>
              <w:rPr>
                <w:rFonts w:ascii="Arial" w:hAnsi="Arial" w:cs="Arial"/>
                <w:color w:val="auto"/>
                <w:sz w:val="22"/>
                <w:szCs w:val="22"/>
              </w:rPr>
            </w:pPr>
          </w:p>
          <w:p w:rsidR="00927634" w:rsidRPr="00F254B8" w:rsidRDefault="00927634">
            <w:pPr>
              <w:pStyle w:val="Default"/>
              <w:spacing w:after="140"/>
              <w:rPr>
                <w:rFonts w:ascii="Arial" w:hAnsi="Arial" w:cs="Arial"/>
                <w:color w:val="auto"/>
                <w:sz w:val="22"/>
                <w:szCs w:val="22"/>
              </w:rPr>
            </w:pPr>
            <w:r w:rsidRPr="00F254B8">
              <w:rPr>
                <w:rFonts w:ascii="Arial" w:hAnsi="Arial" w:cs="Arial"/>
                <w:color w:val="auto"/>
                <w:sz w:val="22"/>
                <w:szCs w:val="22"/>
              </w:rPr>
              <w:t>=</w:t>
            </w:r>
          </w:p>
        </w:tc>
        <w:tc>
          <w:tcPr>
            <w:tcW w:w="3118" w:type="dxa"/>
            <w:vMerge w:val="restart"/>
            <w:shd w:val="clear" w:color="auto" w:fill="FFFFFF"/>
            <w:vAlign w:val="center"/>
          </w:tcPr>
          <w:p w:rsidR="00927634" w:rsidRPr="00F254B8" w:rsidRDefault="00927634">
            <w:pPr>
              <w:pStyle w:val="Default"/>
              <w:rPr>
                <w:rFonts w:ascii="Arial" w:hAnsi="Arial" w:cs="Arial"/>
                <w:color w:val="auto"/>
                <w:sz w:val="22"/>
                <w:szCs w:val="22"/>
              </w:rPr>
            </w:pPr>
          </w:p>
          <w:p w:rsidR="00927634" w:rsidRPr="00F254B8" w:rsidRDefault="00927634">
            <w:pPr>
              <w:pStyle w:val="Default"/>
              <w:rPr>
                <w:rFonts w:ascii="Arial" w:hAnsi="Arial" w:cs="Arial"/>
                <w:color w:val="auto"/>
                <w:sz w:val="22"/>
                <w:szCs w:val="22"/>
              </w:rPr>
            </w:pPr>
            <w:r w:rsidRPr="00F254B8">
              <w:rPr>
                <w:rFonts w:ascii="Arial" w:hAnsi="Arial" w:cs="Arial"/>
                <w:color w:val="auto"/>
                <w:sz w:val="22"/>
                <w:szCs w:val="22"/>
              </w:rPr>
              <w:t>…mg přípravku na litr pitné vody</w:t>
            </w:r>
          </w:p>
        </w:tc>
      </w:tr>
      <w:tr w:rsidR="00927634" w:rsidRPr="00F254B8" w:rsidTr="00927634">
        <w:trPr>
          <w:trHeight w:val="246"/>
        </w:trPr>
        <w:tc>
          <w:tcPr>
            <w:tcW w:w="5130" w:type="dxa"/>
            <w:gridSpan w:val="3"/>
            <w:tcBorders>
              <w:top w:val="single" w:sz="4" w:space="0" w:color="000000"/>
              <w:left w:val="nil"/>
              <w:bottom w:val="nil"/>
              <w:right w:val="nil"/>
            </w:tcBorders>
            <w:shd w:val="clear" w:color="auto" w:fill="FFFFFF"/>
            <w:vAlign w:val="center"/>
          </w:tcPr>
          <w:p w:rsidR="00927634" w:rsidRPr="00F254B8" w:rsidRDefault="00927634">
            <w:pPr>
              <w:pStyle w:val="Default"/>
              <w:jc w:val="center"/>
              <w:rPr>
                <w:rFonts w:ascii="Arial" w:hAnsi="Arial" w:cs="Arial"/>
                <w:color w:val="auto"/>
                <w:sz w:val="22"/>
                <w:szCs w:val="22"/>
              </w:rPr>
            </w:pPr>
            <w:r w:rsidRPr="00F254B8">
              <w:rPr>
                <w:rFonts w:ascii="Arial" w:hAnsi="Arial" w:cs="Arial"/>
                <w:color w:val="auto"/>
                <w:sz w:val="22"/>
                <w:szCs w:val="22"/>
              </w:rPr>
              <w:t xml:space="preserve">průměrná denní spotřeba vody (l) </w:t>
            </w:r>
            <w:r w:rsidRPr="00F254B8">
              <w:rPr>
                <w:rFonts w:ascii="Arial" w:hAnsi="Arial" w:cs="Arial"/>
                <w:i/>
                <w:color w:val="auto"/>
                <w:sz w:val="22"/>
                <w:szCs w:val="22"/>
              </w:rPr>
              <w:t>pro toto</w:t>
            </w:r>
          </w:p>
        </w:tc>
        <w:tc>
          <w:tcPr>
            <w:tcW w:w="426" w:type="dxa"/>
            <w:vMerge/>
            <w:shd w:val="clear" w:color="auto" w:fill="FFFFFF"/>
            <w:vAlign w:val="center"/>
          </w:tcPr>
          <w:p w:rsidR="00927634" w:rsidRPr="00F254B8" w:rsidRDefault="00927634">
            <w:pPr>
              <w:rPr>
                <w:rFonts w:ascii="Arial" w:hAnsi="Arial" w:cs="Arial"/>
                <w:sz w:val="22"/>
                <w:szCs w:val="22"/>
              </w:rPr>
            </w:pPr>
          </w:p>
        </w:tc>
        <w:tc>
          <w:tcPr>
            <w:tcW w:w="3118" w:type="dxa"/>
            <w:vMerge/>
            <w:shd w:val="clear" w:color="auto" w:fill="FFFFFF"/>
            <w:vAlign w:val="center"/>
          </w:tcPr>
          <w:p w:rsidR="00927634" w:rsidRPr="00F254B8" w:rsidRDefault="00927634">
            <w:pPr>
              <w:rPr>
                <w:rFonts w:ascii="Arial" w:hAnsi="Arial" w:cs="Arial"/>
                <w:sz w:val="22"/>
                <w:szCs w:val="22"/>
              </w:rPr>
            </w:pPr>
          </w:p>
        </w:tc>
      </w:tr>
    </w:tbl>
    <w:p w:rsidR="00927634" w:rsidRPr="00F254B8" w:rsidRDefault="00927634" w:rsidP="00927634">
      <w:pPr>
        <w:jc w:val="both"/>
        <w:rPr>
          <w:rFonts w:ascii="Arial" w:hAnsi="Arial" w:cs="Arial"/>
          <w:sz w:val="22"/>
          <w:szCs w:val="22"/>
        </w:rPr>
      </w:pPr>
    </w:p>
    <w:p w:rsidR="00927634" w:rsidRPr="00F254B8" w:rsidRDefault="00927634" w:rsidP="00927634">
      <w:pPr>
        <w:pStyle w:val="Zkladntext"/>
        <w:ind w:left="709"/>
        <w:rPr>
          <w:rFonts w:ascii="Arial" w:hAnsi="Arial" w:cs="Arial"/>
          <w:sz w:val="22"/>
          <w:szCs w:val="22"/>
        </w:rPr>
      </w:pPr>
      <w:r w:rsidRPr="00F254B8">
        <w:rPr>
          <w:rFonts w:ascii="Arial" w:hAnsi="Arial" w:cs="Arial"/>
          <w:szCs w:val="22"/>
        </w:rPr>
        <w:t>Pro dosažení správné dávky musí stanovena co možná nejpřesněji živá hmotnost zvířat, aby se předešlo poddávkování.</w:t>
      </w:r>
    </w:p>
    <w:p w:rsidR="00927634" w:rsidRPr="00F254B8" w:rsidRDefault="00927634" w:rsidP="00927634">
      <w:pPr>
        <w:pStyle w:val="Zkladntext"/>
        <w:ind w:left="709"/>
        <w:rPr>
          <w:rFonts w:ascii="Arial" w:hAnsi="Arial" w:cs="Arial"/>
          <w:szCs w:val="22"/>
        </w:rPr>
      </w:pPr>
      <w:r w:rsidRPr="00F254B8">
        <w:rPr>
          <w:rFonts w:ascii="Arial" w:hAnsi="Arial" w:cs="Arial"/>
          <w:szCs w:val="22"/>
        </w:rPr>
        <w:t xml:space="preserve">Příjem medikované vody závisí na klinickém stavu zvířat. K zajištění správného dávkování může být nutné upravit koncentraci přípravku v pitné vodě. </w:t>
      </w:r>
    </w:p>
    <w:p w:rsidR="00927634" w:rsidRPr="00F254B8" w:rsidRDefault="00927634" w:rsidP="00927634">
      <w:pPr>
        <w:pStyle w:val="Zkladntext"/>
        <w:ind w:left="709"/>
        <w:rPr>
          <w:rFonts w:ascii="Arial" w:hAnsi="Arial" w:cs="Arial"/>
          <w:szCs w:val="22"/>
        </w:rPr>
      </w:pPr>
      <w:r w:rsidRPr="00F254B8">
        <w:rPr>
          <w:rFonts w:ascii="Arial" w:hAnsi="Arial" w:cs="Arial"/>
          <w:szCs w:val="22"/>
        </w:rPr>
        <w:lastRenderedPageBreak/>
        <w:t>V případech, kdy se nepoužije celé balení přípravku, musí být potřebné množství přípravku odváženo za použití vhodně kalibrovaných vah. Množství přípravku, které pokryje jednodenní dávku, se přidává do vody tak, aby byla veškerá medikovaná voda spotřebována v průběhu 24 hodin. Medikovanou vodu je třeba připravovat každých 24 hodin čerstvou. Doporučuje se připravit koncentrovaný roztok – přibližně 100 gramů přípravku na litr pitné vody – a tento koncentrovaný roztok v případě potřeby dále ředit na terapeutické koncentrace. Alternativně může být koncentrovaný roztok použit ve vhodném proporcionálním medikátoru vody. Před aplikací omezte 2 hodiny před podáním léčiva přívod vody. Po vypití medikované vody by zvířata měla mít k dispozici dostatečné množství nemedikované vody pro zbytek dne.</w:t>
      </w:r>
    </w:p>
    <w:p w:rsidR="00927634" w:rsidRPr="00F254B8" w:rsidRDefault="00927634" w:rsidP="00927634">
      <w:pPr>
        <w:pStyle w:val="Zkladntext"/>
        <w:ind w:left="709"/>
        <w:rPr>
          <w:rFonts w:ascii="Arial" w:hAnsi="Arial" w:cs="Arial"/>
          <w:szCs w:val="22"/>
        </w:rPr>
      </w:pPr>
    </w:p>
    <w:p w:rsidR="00927634" w:rsidRPr="00F254B8" w:rsidRDefault="00927634" w:rsidP="00927634">
      <w:pPr>
        <w:pStyle w:val="Zkladntext"/>
        <w:ind w:left="709"/>
        <w:rPr>
          <w:rFonts w:ascii="Arial" w:hAnsi="Arial" w:cs="Arial"/>
          <w:szCs w:val="22"/>
        </w:rPr>
      </w:pPr>
      <w:r w:rsidRPr="00F254B8">
        <w:rPr>
          <w:rFonts w:ascii="Arial" w:hAnsi="Arial" w:cs="Arial"/>
          <w:szCs w:val="22"/>
        </w:rPr>
        <w:t>Maximální rozpustnost přípravku v měkké i tvrdé vodě při 5 a 20°C je přibližně 140 g/l během max. 5 minut. Voda by měla být míchána, dokud nedojde k úplnému rozpuštění přípravku do čirého žlutého roztoku.</w:t>
      </w:r>
    </w:p>
    <w:p w:rsidR="00927634" w:rsidRPr="00F254B8" w:rsidRDefault="00927634" w:rsidP="00927634">
      <w:pPr>
        <w:pStyle w:val="Zkladntext"/>
        <w:ind w:left="709"/>
        <w:rPr>
          <w:rFonts w:ascii="Arial" w:hAnsi="Arial" w:cs="Arial"/>
          <w:szCs w:val="22"/>
        </w:rPr>
      </w:pPr>
      <w:r w:rsidRPr="00F254B8">
        <w:rPr>
          <w:rFonts w:ascii="Arial" w:hAnsi="Arial" w:cs="Arial"/>
          <w:szCs w:val="22"/>
        </w:rPr>
        <w:t>Léčbu je třeba doplnit správnými chovatelskými a zoohygienickými postupy, aby se snížilo riziko infekce a bylo možné kontrolovat vytváření rezistence.</w:t>
      </w:r>
    </w:p>
    <w:p w:rsidR="00927634" w:rsidRPr="00F254B8" w:rsidRDefault="00927634" w:rsidP="00927634">
      <w:pPr>
        <w:ind w:left="709"/>
        <w:jc w:val="both"/>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4.10</w:t>
      </w:r>
      <w:r w:rsidRPr="00F254B8">
        <w:rPr>
          <w:rFonts w:ascii="Arial" w:hAnsi="Arial" w:cs="Arial"/>
          <w:b/>
          <w:bCs/>
          <w:sz w:val="22"/>
          <w:szCs w:val="22"/>
        </w:rPr>
        <w:tab/>
        <w:t>Předávkování (symptomy, první pomoc, antidota), pokud je to nutné</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Doxycyklin je u cílových druhů dobře snášen a při dodržení doporučených dávek by nemělo dojít k předávkování. V případě podezření na předávkování je nutno léčbu přerušit a provést vhodná opatření.</w:t>
      </w:r>
    </w:p>
    <w:p w:rsidR="00927634" w:rsidRPr="00F254B8" w:rsidRDefault="00927634" w:rsidP="00927634">
      <w:pPr>
        <w:ind w:left="709"/>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4.11</w:t>
      </w:r>
      <w:r w:rsidRPr="00F254B8">
        <w:rPr>
          <w:rFonts w:ascii="Arial" w:hAnsi="Arial" w:cs="Arial"/>
          <w:b/>
          <w:bCs/>
          <w:sz w:val="22"/>
          <w:szCs w:val="22"/>
        </w:rPr>
        <w:tab/>
        <w:t>Ochranná(é) lhůta(y)</w:t>
      </w:r>
    </w:p>
    <w:p w:rsidR="00927634" w:rsidRPr="00F254B8" w:rsidRDefault="00927634" w:rsidP="00927634">
      <w:pPr>
        <w:ind w:left="709"/>
        <w:rPr>
          <w:rFonts w:ascii="Arial" w:hAnsi="Arial" w:cs="Arial"/>
          <w:sz w:val="22"/>
          <w:szCs w:val="22"/>
        </w:rPr>
      </w:pPr>
      <w:r w:rsidRPr="00F254B8">
        <w:rPr>
          <w:rFonts w:ascii="Arial" w:hAnsi="Arial" w:cs="Arial"/>
          <w:sz w:val="22"/>
          <w:szCs w:val="22"/>
        </w:rPr>
        <w:t>Prasata: Maso: 7 dnů</w:t>
      </w:r>
    </w:p>
    <w:p w:rsidR="00927634" w:rsidRPr="00F254B8" w:rsidRDefault="00927634" w:rsidP="00927634">
      <w:pPr>
        <w:ind w:left="709"/>
        <w:rPr>
          <w:rFonts w:ascii="Arial" w:hAnsi="Arial" w:cs="Arial"/>
          <w:sz w:val="22"/>
          <w:szCs w:val="22"/>
        </w:rPr>
      </w:pPr>
      <w:r w:rsidRPr="00F254B8">
        <w:rPr>
          <w:rFonts w:ascii="Arial" w:hAnsi="Arial" w:cs="Arial"/>
          <w:sz w:val="22"/>
          <w:szCs w:val="22"/>
        </w:rPr>
        <w:t xml:space="preserve">Kur domácí (brojleři): Maso: 7 dnů </w:t>
      </w:r>
    </w:p>
    <w:p w:rsidR="00927634" w:rsidRPr="00F254B8" w:rsidRDefault="00927634" w:rsidP="00927634">
      <w:pPr>
        <w:ind w:left="709"/>
        <w:rPr>
          <w:rFonts w:ascii="Arial" w:hAnsi="Arial" w:cs="Arial"/>
          <w:sz w:val="22"/>
          <w:szCs w:val="22"/>
        </w:rPr>
      </w:pPr>
      <w:r w:rsidRPr="00F254B8">
        <w:rPr>
          <w:rFonts w:ascii="Arial" w:hAnsi="Arial" w:cs="Arial"/>
          <w:sz w:val="22"/>
          <w:szCs w:val="22"/>
        </w:rPr>
        <w:t>Nepoužívat u nosnic, jejichž vejce jsou určena pro lidskou spotřebu.</w:t>
      </w:r>
    </w:p>
    <w:p w:rsidR="00927634" w:rsidRPr="00F254B8" w:rsidRDefault="00927634" w:rsidP="00927634">
      <w:pPr>
        <w:ind w:left="709"/>
        <w:rPr>
          <w:rFonts w:ascii="Arial" w:hAnsi="Arial" w:cs="Arial"/>
          <w:sz w:val="22"/>
          <w:szCs w:val="22"/>
        </w:rPr>
      </w:pPr>
    </w:p>
    <w:p w:rsidR="00927634" w:rsidRPr="00F254B8" w:rsidRDefault="00927634" w:rsidP="00927634">
      <w:pPr>
        <w:keepNext/>
        <w:numPr>
          <w:ilvl w:val="0"/>
          <w:numId w:val="39"/>
        </w:numPr>
        <w:ind w:left="709" w:hanging="709"/>
        <w:rPr>
          <w:rFonts w:ascii="Arial" w:hAnsi="Arial" w:cs="Arial"/>
          <w:b/>
          <w:bCs/>
          <w:sz w:val="22"/>
          <w:szCs w:val="22"/>
        </w:rPr>
      </w:pPr>
      <w:r w:rsidRPr="00F254B8">
        <w:rPr>
          <w:rFonts w:ascii="Arial" w:hAnsi="Arial" w:cs="Arial"/>
          <w:b/>
          <w:bCs/>
          <w:sz w:val="22"/>
          <w:szCs w:val="22"/>
        </w:rPr>
        <w:t>FARMAKOLOGICKÉ VLASTNOSTI</w:t>
      </w:r>
    </w:p>
    <w:p w:rsidR="00927634" w:rsidRPr="00F254B8" w:rsidRDefault="00927634" w:rsidP="00927634">
      <w:pPr>
        <w:keepNext/>
        <w:ind w:left="709"/>
        <w:jc w:val="both"/>
        <w:rPr>
          <w:rFonts w:ascii="Arial" w:hAnsi="Arial" w:cs="Arial"/>
          <w:bCs/>
          <w:sz w:val="22"/>
          <w:szCs w:val="22"/>
        </w:rPr>
      </w:pPr>
      <w:r w:rsidRPr="00F254B8">
        <w:rPr>
          <w:rFonts w:ascii="Arial" w:hAnsi="Arial" w:cs="Arial"/>
          <w:bCs/>
          <w:sz w:val="22"/>
          <w:szCs w:val="22"/>
        </w:rPr>
        <w:t>Farmakoterapeutická skupina: antibakteriální léčiva pro systémovou aplikaci, tetracykliny, doxycyklin.</w:t>
      </w:r>
    </w:p>
    <w:p w:rsidR="00927634" w:rsidRPr="00F254B8" w:rsidRDefault="00927634" w:rsidP="00927634">
      <w:pPr>
        <w:ind w:left="709"/>
        <w:jc w:val="both"/>
        <w:rPr>
          <w:rFonts w:ascii="Arial" w:hAnsi="Arial" w:cs="Arial"/>
          <w:bCs/>
          <w:sz w:val="22"/>
          <w:szCs w:val="22"/>
        </w:rPr>
      </w:pPr>
      <w:r w:rsidRPr="00F254B8">
        <w:rPr>
          <w:rFonts w:ascii="Arial" w:hAnsi="Arial" w:cs="Arial"/>
          <w:bCs/>
          <w:sz w:val="22"/>
          <w:szCs w:val="22"/>
        </w:rPr>
        <w:t>ATCvet kód: QJ01AA02.</w:t>
      </w:r>
    </w:p>
    <w:p w:rsidR="00927634" w:rsidRPr="00F254B8" w:rsidRDefault="00927634" w:rsidP="00927634">
      <w:pPr>
        <w:rPr>
          <w:rFonts w:ascii="Arial" w:hAnsi="Arial" w:cs="Arial"/>
          <w:bCs/>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5.1</w:t>
      </w:r>
      <w:r w:rsidRPr="00F254B8">
        <w:rPr>
          <w:rFonts w:ascii="Arial" w:hAnsi="Arial" w:cs="Arial"/>
          <w:b/>
          <w:bCs/>
          <w:sz w:val="22"/>
          <w:szCs w:val="22"/>
        </w:rPr>
        <w:tab/>
        <w:t>Farmakodynamické vlastnosti</w:t>
      </w:r>
    </w:p>
    <w:p w:rsidR="00927634" w:rsidRPr="00F254B8" w:rsidRDefault="00927634" w:rsidP="00927634">
      <w:pPr>
        <w:tabs>
          <w:tab w:val="num" w:pos="709"/>
        </w:tabs>
        <w:ind w:left="709"/>
        <w:jc w:val="both"/>
        <w:rPr>
          <w:rFonts w:ascii="Arial" w:hAnsi="Arial" w:cs="Arial"/>
          <w:sz w:val="22"/>
          <w:szCs w:val="22"/>
        </w:rPr>
      </w:pPr>
      <w:r w:rsidRPr="00F254B8">
        <w:rPr>
          <w:rFonts w:ascii="Arial" w:hAnsi="Arial" w:cs="Arial"/>
          <w:sz w:val="22"/>
          <w:szCs w:val="22"/>
        </w:rPr>
        <w:t>Doxycyklin je širokospektré antibiotikum, působí bakteriostaticky a inhibuje proteosyntézu bakterií. Dostává se do bakteriální buňky energeticky náročným procesem, v cytoplasmě se váže na 30S ribozomální podjednotky v místě vazby aminoacyl-tRNA na komplex tvořený ribozomem a mRNA. Vazba tetracyklinů na cílové místo na ribozomu zabraňuje vazbě aminoacyl-tRNA a elongaci peptidového řetězce, čímž je dočasně narušena syntéza bakteriálních bílkovin.</w:t>
      </w:r>
    </w:p>
    <w:p w:rsidR="00927634" w:rsidRPr="00F254B8" w:rsidRDefault="00927634" w:rsidP="00927634">
      <w:pPr>
        <w:ind w:left="709"/>
        <w:jc w:val="both"/>
        <w:rPr>
          <w:rFonts w:ascii="Arial" w:hAnsi="Arial" w:cs="Arial"/>
          <w:sz w:val="22"/>
          <w:szCs w:val="22"/>
        </w:rPr>
      </w:pPr>
    </w:p>
    <w:p w:rsidR="00927634" w:rsidRPr="00F254B8" w:rsidRDefault="00927634" w:rsidP="00927634">
      <w:pPr>
        <w:ind w:left="709"/>
        <w:jc w:val="both"/>
        <w:outlineLvl w:val="0"/>
        <w:rPr>
          <w:rFonts w:ascii="Arial" w:hAnsi="Arial" w:cs="Arial"/>
          <w:sz w:val="22"/>
          <w:szCs w:val="22"/>
        </w:rPr>
      </w:pPr>
      <w:r w:rsidRPr="00F254B8">
        <w:rPr>
          <w:rFonts w:ascii="Arial" w:hAnsi="Arial" w:cs="Arial"/>
          <w:sz w:val="22"/>
          <w:szCs w:val="22"/>
        </w:rPr>
        <w:t xml:space="preserve">Byly zaznamenány čtyři mechanismy získané rezistence mikroorganismů k tetracyklinům obecně: snížená akumulace tetracyklinů (snížená propustnost bakteriální buněčné stěny a aktivní eflux), ochrana bakteriálního ribozomu specifickými proteiny, enzymatická inaktivace antibiotik a změna primární struktury ribozomální rRNA v důsledku mutací (brání tetracyklinu navázat se na ribozom). </w:t>
      </w:r>
    </w:p>
    <w:p w:rsidR="00927634" w:rsidRPr="00F254B8" w:rsidRDefault="00927634" w:rsidP="00927634">
      <w:pPr>
        <w:ind w:left="709"/>
        <w:jc w:val="both"/>
        <w:outlineLvl w:val="0"/>
        <w:rPr>
          <w:rFonts w:ascii="Arial" w:hAnsi="Arial" w:cs="Arial"/>
          <w:sz w:val="22"/>
          <w:szCs w:val="22"/>
        </w:rPr>
      </w:pPr>
    </w:p>
    <w:p w:rsidR="00927634" w:rsidRPr="00F254B8" w:rsidRDefault="00927634" w:rsidP="00927634">
      <w:pPr>
        <w:ind w:left="709"/>
        <w:jc w:val="both"/>
        <w:outlineLvl w:val="0"/>
        <w:rPr>
          <w:rFonts w:ascii="Arial" w:hAnsi="Arial" w:cs="Arial"/>
          <w:sz w:val="22"/>
          <w:szCs w:val="22"/>
        </w:rPr>
      </w:pPr>
      <w:r w:rsidRPr="00F254B8">
        <w:rPr>
          <w:rFonts w:ascii="Arial" w:hAnsi="Arial" w:cs="Arial"/>
          <w:sz w:val="22"/>
          <w:szCs w:val="22"/>
        </w:rPr>
        <w:t>Rezistence k tetracyklinu je obvykle přenášena prostřednictvím plazmidů nebo jiných mobilních elementů (např. konjugativních transpozonů). Byla rovněž popsána zkřížená rezistence mezi tetracykliny. Doxycyklin může být účinný proti mikroorganizmům s </w:t>
      </w:r>
      <w:r w:rsidRPr="00F254B8">
        <w:rPr>
          <w:rFonts w:ascii="Arial" w:hAnsi="Arial" w:cs="Arial"/>
          <w:i/>
          <w:sz w:val="22"/>
          <w:szCs w:val="22"/>
        </w:rPr>
        <w:t>in vitro</w:t>
      </w:r>
      <w:r w:rsidRPr="00F254B8">
        <w:rPr>
          <w:rFonts w:ascii="Arial" w:hAnsi="Arial" w:cs="Arial"/>
          <w:sz w:val="22"/>
          <w:szCs w:val="22"/>
        </w:rPr>
        <w:t xml:space="preserve"> detekovanou rezistencí k tetracyklinu. </w:t>
      </w:r>
    </w:p>
    <w:p w:rsidR="00927634" w:rsidRPr="00F254B8" w:rsidRDefault="00927634" w:rsidP="00927634">
      <w:pPr>
        <w:ind w:left="709"/>
        <w:jc w:val="both"/>
        <w:outlineLvl w:val="0"/>
        <w:rPr>
          <w:rFonts w:ascii="Arial" w:hAnsi="Arial" w:cs="Arial"/>
          <w:sz w:val="22"/>
          <w:szCs w:val="22"/>
        </w:rPr>
      </w:pP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V tabulkách níže jsou prezentovány hodnoty MIC doxycyklinu (popř. tetracyklinu) pro vybrané patogeny izolované z klinicky nemocných zvířat. Hodnoty reflektují stav v čase a geografické lokalitě, a proto použití přípravku by mělo být vždy, když je to možné, založeno na výsledku testu citlivosti (preferovaně k doxycyklinu).</w:t>
      </w:r>
    </w:p>
    <w:p w:rsidR="00927634" w:rsidRPr="00F254B8" w:rsidRDefault="00927634" w:rsidP="00927634">
      <w:pPr>
        <w:jc w:val="both"/>
        <w:rPr>
          <w:rFonts w:ascii="Arial" w:hAnsi="Arial" w:cs="Arial"/>
          <w:sz w:val="20"/>
          <w:szCs w:val="20"/>
          <w:lang w:eastAsia="en-US"/>
        </w:rPr>
      </w:pPr>
    </w:p>
    <w:tbl>
      <w:tblPr>
        <w:tblW w:w="450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1245"/>
        <w:gridCol w:w="831"/>
        <w:gridCol w:w="1937"/>
      </w:tblGrid>
      <w:tr w:rsidR="00927634" w:rsidRPr="00F254B8" w:rsidTr="00927634">
        <w:trPr>
          <w:trHeight w:hRule="exact" w:val="536"/>
        </w:trPr>
        <w:tc>
          <w:tcPr>
            <w:tcW w:w="2543" w:type="pct"/>
            <w:tcBorders>
              <w:top w:val="single" w:sz="4" w:space="0" w:color="auto"/>
              <w:left w:val="single" w:sz="4" w:space="0" w:color="auto"/>
              <w:bottom w:val="single" w:sz="4" w:space="0" w:color="auto"/>
              <w:right w:val="single" w:sz="4" w:space="0" w:color="auto"/>
            </w:tcBorders>
            <w:shd w:val="clear" w:color="auto" w:fill="E6E6E6"/>
            <w:vAlign w:val="center"/>
          </w:tcPr>
          <w:p w:rsidR="00927634" w:rsidRPr="00F254B8" w:rsidRDefault="00927634">
            <w:pPr>
              <w:rPr>
                <w:rFonts w:ascii="Arial" w:hAnsi="Arial" w:cs="Arial"/>
                <w:b/>
                <w:sz w:val="20"/>
                <w:szCs w:val="20"/>
              </w:rPr>
            </w:pPr>
            <w:r w:rsidRPr="00F254B8">
              <w:rPr>
                <w:rFonts w:ascii="Arial" w:hAnsi="Arial" w:cs="Arial"/>
                <w:b/>
                <w:sz w:val="20"/>
                <w:szCs w:val="20"/>
              </w:rPr>
              <w:t>Druh původce onemocnění (počet izolátů)</w:t>
            </w:r>
          </w:p>
        </w:tc>
        <w:tc>
          <w:tcPr>
            <w:tcW w:w="762" w:type="pct"/>
            <w:tcBorders>
              <w:top w:val="single" w:sz="4" w:space="0" w:color="auto"/>
              <w:left w:val="single" w:sz="4" w:space="0" w:color="auto"/>
              <w:bottom w:val="single" w:sz="4" w:space="0" w:color="auto"/>
              <w:right w:val="single" w:sz="4" w:space="0" w:color="auto"/>
            </w:tcBorders>
            <w:shd w:val="clear" w:color="auto" w:fill="E6E6E6"/>
            <w:vAlign w:val="center"/>
          </w:tcPr>
          <w:p w:rsidR="00927634" w:rsidRPr="00F254B8" w:rsidRDefault="00927634">
            <w:pPr>
              <w:ind w:left="34"/>
              <w:jc w:val="center"/>
              <w:rPr>
                <w:rFonts w:ascii="Arial" w:hAnsi="Arial" w:cs="Arial"/>
                <w:b/>
                <w:sz w:val="20"/>
                <w:szCs w:val="20"/>
              </w:rPr>
            </w:pPr>
            <w:r w:rsidRPr="00F254B8">
              <w:rPr>
                <w:rFonts w:ascii="Arial" w:hAnsi="Arial" w:cs="Arial"/>
                <w:b/>
                <w:sz w:val="20"/>
                <w:szCs w:val="20"/>
              </w:rPr>
              <w:t>MIC</w:t>
            </w:r>
            <w:r w:rsidRPr="00F254B8">
              <w:rPr>
                <w:rFonts w:ascii="Arial" w:hAnsi="Arial" w:cs="Arial"/>
                <w:b/>
                <w:sz w:val="20"/>
                <w:szCs w:val="20"/>
                <w:vertAlign w:val="subscript"/>
              </w:rPr>
              <w:t>50</w:t>
            </w:r>
          </w:p>
          <w:p w:rsidR="00927634" w:rsidRPr="00F254B8" w:rsidRDefault="00927634">
            <w:pPr>
              <w:ind w:left="34"/>
              <w:jc w:val="center"/>
              <w:rPr>
                <w:rFonts w:ascii="Arial" w:hAnsi="Arial" w:cs="Arial"/>
                <w:b/>
                <w:sz w:val="20"/>
                <w:szCs w:val="20"/>
              </w:rPr>
            </w:pPr>
            <w:r w:rsidRPr="00F254B8">
              <w:rPr>
                <w:rFonts w:ascii="Arial" w:hAnsi="Arial" w:cs="Arial"/>
                <w:b/>
                <w:sz w:val="20"/>
                <w:szCs w:val="20"/>
              </w:rPr>
              <w:t>[μg/ml]</w:t>
            </w:r>
          </w:p>
        </w:tc>
        <w:tc>
          <w:tcPr>
            <w:tcW w:w="509" w:type="pct"/>
            <w:tcBorders>
              <w:top w:val="single" w:sz="4" w:space="0" w:color="auto"/>
              <w:left w:val="single" w:sz="4" w:space="0" w:color="auto"/>
              <w:bottom w:val="single" w:sz="4" w:space="0" w:color="auto"/>
              <w:right w:val="single" w:sz="4" w:space="0" w:color="auto"/>
            </w:tcBorders>
            <w:shd w:val="clear" w:color="auto" w:fill="E6E6E6"/>
            <w:vAlign w:val="center"/>
          </w:tcPr>
          <w:p w:rsidR="00927634" w:rsidRPr="00F254B8" w:rsidRDefault="00927634">
            <w:pPr>
              <w:ind w:left="-108" w:right="-107"/>
              <w:jc w:val="center"/>
              <w:rPr>
                <w:rFonts w:ascii="Arial" w:hAnsi="Arial" w:cs="Arial"/>
                <w:b/>
                <w:sz w:val="20"/>
                <w:szCs w:val="20"/>
              </w:rPr>
            </w:pPr>
            <w:r w:rsidRPr="00F254B8">
              <w:rPr>
                <w:rFonts w:ascii="Arial" w:hAnsi="Arial" w:cs="Arial"/>
                <w:b/>
                <w:sz w:val="20"/>
                <w:szCs w:val="20"/>
              </w:rPr>
              <w:t>MIC</w:t>
            </w:r>
            <w:r w:rsidRPr="00F254B8">
              <w:rPr>
                <w:rFonts w:ascii="Arial" w:hAnsi="Arial" w:cs="Arial"/>
                <w:b/>
                <w:sz w:val="20"/>
                <w:szCs w:val="20"/>
                <w:vertAlign w:val="subscript"/>
              </w:rPr>
              <w:t>90</w:t>
            </w:r>
          </w:p>
          <w:p w:rsidR="00927634" w:rsidRPr="00F254B8" w:rsidRDefault="00927634">
            <w:pPr>
              <w:ind w:left="-108" w:right="-107"/>
              <w:jc w:val="center"/>
              <w:rPr>
                <w:rFonts w:ascii="Arial" w:hAnsi="Arial" w:cs="Arial"/>
                <w:b/>
                <w:sz w:val="20"/>
                <w:szCs w:val="20"/>
                <w:vertAlign w:val="subscript"/>
              </w:rPr>
            </w:pPr>
            <w:r w:rsidRPr="00F254B8">
              <w:rPr>
                <w:rFonts w:ascii="Arial" w:hAnsi="Arial" w:cs="Arial"/>
                <w:b/>
                <w:sz w:val="20"/>
                <w:szCs w:val="20"/>
              </w:rPr>
              <w:t>[μg/ml]</w:t>
            </w:r>
          </w:p>
        </w:tc>
        <w:tc>
          <w:tcPr>
            <w:tcW w:w="1186" w:type="pct"/>
            <w:tcBorders>
              <w:top w:val="single" w:sz="4" w:space="0" w:color="auto"/>
              <w:left w:val="single" w:sz="4" w:space="0" w:color="auto"/>
              <w:bottom w:val="single" w:sz="4" w:space="0" w:color="auto"/>
              <w:right w:val="single" w:sz="4" w:space="0" w:color="auto"/>
            </w:tcBorders>
            <w:shd w:val="clear" w:color="auto" w:fill="E6E6E6"/>
            <w:vAlign w:val="center"/>
          </w:tcPr>
          <w:p w:rsidR="00927634" w:rsidRPr="00F254B8" w:rsidRDefault="00927634">
            <w:pPr>
              <w:ind w:right="-108"/>
              <w:jc w:val="center"/>
              <w:rPr>
                <w:rFonts w:ascii="Arial" w:hAnsi="Arial" w:cs="Arial"/>
                <w:b/>
                <w:sz w:val="20"/>
                <w:szCs w:val="20"/>
              </w:rPr>
            </w:pPr>
            <w:r w:rsidRPr="00F254B8">
              <w:rPr>
                <w:rFonts w:ascii="Arial" w:hAnsi="Arial" w:cs="Arial"/>
                <w:b/>
                <w:sz w:val="20"/>
                <w:szCs w:val="20"/>
              </w:rPr>
              <w:t>původ izolátů,</w:t>
            </w:r>
          </w:p>
          <w:p w:rsidR="00927634" w:rsidRPr="00F254B8" w:rsidRDefault="00927634">
            <w:pPr>
              <w:ind w:right="-108"/>
              <w:jc w:val="center"/>
              <w:rPr>
                <w:rFonts w:ascii="Arial" w:hAnsi="Arial" w:cs="Arial"/>
                <w:b/>
                <w:sz w:val="20"/>
                <w:szCs w:val="20"/>
              </w:rPr>
            </w:pPr>
            <w:r w:rsidRPr="00F254B8">
              <w:rPr>
                <w:rFonts w:ascii="Arial" w:hAnsi="Arial" w:cs="Arial"/>
                <w:b/>
                <w:sz w:val="20"/>
                <w:szCs w:val="20"/>
              </w:rPr>
              <w:t>rok sběru</w:t>
            </w:r>
          </w:p>
        </w:tc>
      </w:tr>
      <w:tr w:rsidR="00927634" w:rsidRPr="00F254B8" w:rsidTr="00927634">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927634" w:rsidRPr="00F254B8" w:rsidRDefault="00927634">
            <w:pPr>
              <w:ind w:right="-107"/>
              <w:jc w:val="center"/>
              <w:rPr>
                <w:rFonts w:ascii="Arial" w:hAnsi="Arial" w:cs="Arial"/>
                <w:b/>
                <w:sz w:val="20"/>
                <w:szCs w:val="20"/>
              </w:rPr>
            </w:pPr>
            <w:r w:rsidRPr="00F254B8">
              <w:rPr>
                <w:rFonts w:ascii="Arial" w:hAnsi="Arial" w:cs="Arial"/>
                <w:b/>
                <w:i/>
                <w:sz w:val="20"/>
                <w:szCs w:val="20"/>
              </w:rPr>
              <w:t>Prase domácí</w:t>
            </w:r>
          </w:p>
        </w:tc>
      </w:tr>
      <w:tr w:rsidR="00927634" w:rsidRPr="00F254B8" w:rsidTr="00927634">
        <w:trPr>
          <w:trHeight w:hRule="exact" w:val="284"/>
        </w:trPr>
        <w:tc>
          <w:tcPr>
            <w:tcW w:w="2543" w:type="pct"/>
            <w:tcBorders>
              <w:top w:val="single" w:sz="4" w:space="0" w:color="auto"/>
              <w:left w:val="single" w:sz="4" w:space="0" w:color="auto"/>
              <w:bottom w:val="dashed" w:sz="4" w:space="0" w:color="auto"/>
              <w:right w:val="single" w:sz="4" w:space="0" w:color="auto"/>
            </w:tcBorders>
            <w:vAlign w:val="center"/>
          </w:tcPr>
          <w:p w:rsidR="00927634" w:rsidRPr="00F254B8" w:rsidRDefault="00927634">
            <w:pPr>
              <w:ind w:left="33" w:right="-107"/>
              <w:rPr>
                <w:rFonts w:ascii="Arial" w:hAnsi="Arial" w:cs="Arial"/>
                <w:sz w:val="20"/>
                <w:szCs w:val="20"/>
              </w:rPr>
            </w:pPr>
            <w:r w:rsidRPr="00F254B8">
              <w:rPr>
                <w:rFonts w:ascii="Arial" w:hAnsi="Arial" w:cs="Arial"/>
                <w:i/>
                <w:sz w:val="20"/>
                <w:szCs w:val="20"/>
              </w:rPr>
              <w:t>Actinobacillus pleuropneumoniae (30)</w:t>
            </w:r>
          </w:p>
        </w:tc>
        <w:tc>
          <w:tcPr>
            <w:tcW w:w="762" w:type="pct"/>
            <w:tcBorders>
              <w:top w:val="single" w:sz="4" w:space="0" w:color="auto"/>
              <w:left w:val="single" w:sz="4" w:space="0" w:color="auto"/>
              <w:bottom w:val="dashed" w:sz="4" w:space="0" w:color="auto"/>
              <w:right w:val="single" w:sz="4" w:space="0" w:color="auto"/>
            </w:tcBorders>
            <w:vAlign w:val="center"/>
          </w:tcPr>
          <w:p w:rsidR="00927634" w:rsidRPr="00F254B8" w:rsidRDefault="00927634">
            <w:pPr>
              <w:ind w:left="34"/>
              <w:jc w:val="center"/>
              <w:rPr>
                <w:rFonts w:ascii="Arial" w:hAnsi="Arial" w:cs="Arial"/>
                <w:sz w:val="20"/>
                <w:szCs w:val="20"/>
              </w:rPr>
            </w:pPr>
            <w:r w:rsidRPr="00F254B8">
              <w:rPr>
                <w:rFonts w:ascii="Arial" w:hAnsi="Arial" w:cs="Arial"/>
                <w:sz w:val="20"/>
                <w:szCs w:val="20"/>
              </w:rPr>
              <w:t>≤0,5</w:t>
            </w:r>
          </w:p>
        </w:tc>
        <w:tc>
          <w:tcPr>
            <w:tcW w:w="509" w:type="pct"/>
            <w:tcBorders>
              <w:top w:val="single" w:sz="4" w:space="0" w:color="auto"/>
              <w:left w:val="single" w:sz="4" w:space="0" w:color="auto"/>
              <w:bottom w:val="dashed" w:sz="4" w:space="0" w:color="auto"/>
              <w:right w:val="single" w:sz="4" w:space="0" w:color="auto"/>
            </w:tcBorders>
            <w:vAlign w:val="center"/>
          </w:tcPr>
          <w:p w:rsidR="00927634" w:rsidRPr="00F254B8" w:rsidRDefault="00927634">
            <w:pPr>
              <w:autoSpaceDE w:val="0"/>
              <w:autoSpaceDN w:val="0"/>
              <w:adjustRightInd w:val="0"/>
              <w:jc w:val="center"/>
              <w:rPr>
                <w:rFonts w:ascii="Arial" w:hAnsi="Arial" w:cs="Arial"/>
                <w:sz w:val="20"/>
                <w:szCs w:val="20"/>
                <w:lang w:eastAsia="en-US"/>
              </w:rPr>
            </w:pPr>
            <w:r w:rsidRPr="00F254B8">
              <w:rPr>
                <w:rFonts w:ascii="Arial" w:hAnsi="Arial" w:cs="Arial"/>
                <w:sz w:val="20"/>
                <w:szCs w:val="20"/>
              </w:rPr>
              <w:t>4</w:t>
            </w:r>
          </w:p>
        </w:tc>
        <w:tc>
          <w:tcPr>
            <w:tcW w:w="1186" w:type="pct"/>
            <w:tcBorders>
              <w:top w:val="single" w:sz="4" w:space="0" w:color="auto"/>
              <w:left w:val="single" w:sz="4" w:space="0" w:color="auto"/>
              <w:bottom w:val="dashed" w:sz="4" w:space="0" w:color="auto"/>
              <w:right w:val="single" w:sz="4" w:space="0" w:color="auto"/>
            </w:tcBorders>
            <w:vAlign w:val="center"/>
          </w:tcPr>
          <w:p w:rsidR="00927634" w:rsidRPr="00F254B8" w:rsidRDefault="00927634">
            <w:pPr>
              <w:ind w:right="-43"/>
              <w:jc w:val="both"/>
              <w:rPr>
                <w:rFonts w:ascii="Arial" w:hAnsi="Arial" w:cs="Arial"/>
                <w:sz w:val="20"/>
                <w:szCs w:val="20"/>
                <w:lang w:eastAsia="en-US"/>
              </w:rPr>
            </w:pPr>
            <w:r w:rsidRPr="00F254B8">
              <w:rPr>
                <w:rFonts w:ascii="Arial" w:hAnsi="Arial" w:cs="Arial"/>
                <w:sz w:val="20"/>
                <w:szCs w:val="20"/>
                <w:lang w:eastAsia="en-US"/>
              </w:rPr>
              <w:t>ČR, 2020</w:t>
            </w:r>
          </w:p>
        </w:tc>
      </w:tr>
      <w:tr w:rsidR="00927634" w:rsidRPr="00F254B8" w:rsidTr="00927634">
        <w:trPr>
          <w:trHeight w:hRule="exact" w:val="284"/>
        </w:trPr>
        <w:tc>
          <w:tcPr>
            <w:tcW w:w="2543"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3"/>
              <w:rPr>
                <w:rFonts w:ascii="Arial" w:hAnsi="Arial" w:cs="Arial"/>
                <w:sz w:val="20"/>
                <w:szCs w:val="20"/>
              </w:rPr>
            </w:pPr>
            <w:r w:rsidRPr="00F254B8">
              <w:rPr>
                <w:rFonts w:ascii="Arial" w:hAnsi="Arial" w:cs="Arial"/>
                <w:i/>
                <w:sz w:val="20"/>
                <w:szCs w:val="20"/>
              </w:rPr>
              <w:t>Bordetella bronchiseptica</w:t>
            </w:r>
            <w:r w:rsidRPr="00F254B8">
              <w:rPr>
                <w:rFonts w:ascii="Arial" w:hAnsi="Arial" w:cs="Arial"/>
                <w:sz w:val="20"/>
                <w:szCs w:val="20"/>
              </w:rPr>
              <w:t xml:space="preserve"> (107)</w:t>
            </w:r>
          </w:p>
        </w:tc>
        <w:tc>
          <w:tcPr>
            <w:tcW w:w="762"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4"/>
              <w:jc w:val="center"/>
              <w:rPr>
                <w:rFonts w:ascii="Arial" w:hAnsi="Arial" w:cs="Arial"/>
                <w:sz w:val="20"/>
                <w:szCs w:val="20"/>
              </w:rPr>
            </w:pPr>
            <w:r w:rsidRPr="00F254B8">
              <w:rPr>
                <w:rFonts w:ascii="Arial" w:hAnsi="Arial" w:cs="Arial"/>
                <w:sz w:val="20"/>
                <w:szCs w:val="20"/>
              </w:rPr>
              <w:t>0,12</w:t>
            </w:r>
          </w:p>
        </w:tc>
        <w:tc>
          <w:tcPr>
            <w:tcW w:w="509"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3"/>
              <w:jc w:val="center"/>
              <w:rPr>
                <w:rFonts w:ascii="Arial" w:hAnsi="Arial" w:cs="Arial"/>
                <w:sz w:val="20"/>
                <w:szCs w:val="20"/>
              </w:rPr>
            </w:pPr>
            <w:r w:rsidRPr="00F254B8">
              <w:rPr>
                <w:rFonts w:ascii="Arial" w:hAnsi="Arial" w:cs="Arial"/>
                <w:sz w:val="20"/>
                <w:szCs w:val="20"/>
              </w:rPr>
              <w:t>0,5</w:t>
            </w:r>
          </w:p>
        </w:tc>
        <w:tc>
          <w:tcPr>
            <w:tcW w:w="1186"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right="-43"/>
              <w:jc w:val="both"/>
              <w:rPr>
                <w:rFonts w:ascii="Arial" w:hAnsi="Arial" w:cs="Arial"/>
                <w:sz w:val="20"/>
                <w:szCs w:val="20"/>
              </w:rPr>
            </w:pPr>
            <w:r w:rsidRPr="00F254B8">
              <w:rPr>
                <w:rFonts w:ascii="Arial" w:hAnsi="Arial" w:cs="Arial"/>
                <w:sz w:val="20"/>
                <w:szCs w:val="20"/>
              </w:rPr>
              <w:t>DE, 2010-2012</w:t>
            </w:r>
          </w:p>
        </w:tc>
      </w:tr>
      <w:tr w:rsidR="00927634" w:rsidRPr="00F254B8" w:rsidTr="00927634">
        <w:trPr>
          <w:trHeight w:hRule="exact" w:val="284"/>
        </w:trPr>
        <w:tc>
          <w:tcPr>
            <w:tcW w:w="2543"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3" w:right="-107"/>
              <w:rPr>
                <w:rFonts w:ascii="Arial" w:hAnsi="Arial" w:cs="Arial"/>
                <w:sz w:val="20"/>
                <w:szCs w:val="20"/>
              </w:rPr>
            </w:pPr>
            <w:r w:rsidRPr="00F254B8">
              <w:rPr>
                <w:rFonts w:ascii="Arial" w:hAnsi="Arial" w:cs="Arial"/>
                <w:i/>
                <w:sz w:val="20"/>
                <w:szCs w:val="20"/>
              </w:rPr>
              <w:t>Escherichia coli (140)</w:t>
            </w:r>
          </w:p>
        </w:tc>
        <w:tc>
          <w:tcPr>
            <w:tcW w:w="762"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4"/>
              <w:jc w:val="center"/>
              <w:rPr>
                <w:rFonts w:ascii="Arial" w:hAnsi="Arial" w:cs="Arial"/>
                <w:sz w:val="20"/>
                <w:szCs w:val="20"/>
              </w:rPr>
            </w:pPr>
            <w:r w:rsidRPr="00F254B8">
              <w:rPr>
                <w:rFonts w:ascii="Arial" w:hAnsi="Arial" w:cs="Arial"/>
                <w:sz w:val="20"/>
                <w:szCs w:val="20"/>
              </w:rPr>
              <w:t>8</w:t>
            </w:r>
          </w:p>
        </w:tc>
        <w:tc>
          <w:tcPr>
            <w:tcW w:w="509"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autoSpaceDE w:val="0"/>
              <w:autoSpaceDN w:val="0"/>
              <w:adjustRightInd w:val="0"/>
              <w:jc w:val="center"/>
              <w:rPr>
                <w:rFonts w:ascii="Arial" w:hAnsi="Arial" w:cs="Arial"/>
                <w:sz w:val="20"/>
                <w:szCs w:val="20"/>
                <w:lang w:eastAsia="en-US"/>
              </w:rPr>
            </w:pPr>
            <w:r w:rsidRPr="00F254B8">
              <w:rPr>
                <w:rFonts w:ascii="Arial" w:hAnsi="Arial" w:cs="Arial"/>
                <w:sz w:val="20"/>
                <w:szCs w:val="20"/>
              </w:rPr>
              <w:t>&gt;16</w:t>
            </w:r>
          </w:p>
        </w:tc>
        <w:tc>
          <w:tcPr>
            <w:tcW w:w="1186"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autoSpaceDE w:val="0"/>
              <w:autoSpaceDN w:val="0"/>
              <w:adjustRightInd w:val="0"/>
              <w:ind w:right="-43"/>
              <w:rPr>
                <w:rFonts w:ascii="Arial" w:hAnsi="Arial" w:cs="Arial"/>
                <w:sz w:val="20"/>
                <w:szCs w:val="20"/>
                <w:lang w:eastAsia="en-US"/>
              </w:rPr>
            </w:pPr>
            <w:r w:rsidRPr="00F254B8">
              <w:rPr>
                <w:rFonts w:ascii="Arial" w:hAnsi="Arial" w:cs="Arial"/>
                <w:sz w:val="20"/>
                <w:szCs w:val="20"/>
                <w:lang w:eastAsia="en-US"/>
              </w:rPr>
              <w:t>ČR, 2020</w:t>
            </w:r>
          </w:p>
        </w:tc>
      </w:tr>
      <w:tr w:rsidR="00927634" w:rsidRPr="00F254B8" w:rsidTr="00927634">
        <w:trPr>
          <w:trHeight w:hRule="exact" w:val="284"/>
        </w:trPr>
        <w:tc>
          <w:tcPr>
            <w:tcW w:w="2543"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3" w:right="-107"/>
              <w:rPr>
                <w:rFonts w:ascii="Arial" w:hAnsi="Arial" w:cs="Arial"/>
                <w:i/>
                <w:sz w:val="20"/>
                <w:szCs w:val="20"/>
              </w:rPr>
            </w:pPr>
            <w:r w:rsidRPr="00F254B8">
              <w:rPr>
                <w:rFonts w:ascii="Arial" w:hAnsi="Arial" w:cs="Arial"/>
                <w:i/>
                <w:sz w:val="20"/>
                <w:szCs w:val="20"/>
              </w:rPr>
              <w:t>Haemophilus parasuis (68)</w:t>
            </w:r>
          </w:p>
        </w:tc>
        <w:tc>
          <w:tcPr>
            <w:tcW w:w="762"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4"/>
              <w:jc w:val="center"/>
              <w:rPr>
                <w:rFonts w:ascii="Arial" w:hAnsi="Arial" w:cs="Arial"/>
                <w:sz w:val="20"/>
                <w:szCs w:val="20"/>
              </w:rPr>
            </w:pPr>
            <w:r w:rsidRPr="00F254B8">
              <w:rPr>
                <w:rFonts w:ascii="Arial" w:hAnsi="Arial" w:cs="Arial"/>
                <w:sz w:val="20"/>
                <w:szCs w:val="20"/>
              </w:rPr>
              <w:t>0,5*</w:t>
            </w:r>
          </w:p>
        </w:tc>
        <w:tc>
          <w:tcPr>
            <w:tcW w:w="509"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jc w:val="center"/>
              <w:rPr>
                <w:rFonts w:ascii="Arial" w:hAnsi="Arial" w:cs="Arial"/>
                <w:sz w:val="20"/>
                <w:szCs w:val="20"/>
              </w:rPr>
            </w:pPr>
            <w:r w:rsidRPr="00F254B8">
              <w:rPr>
                <w:rFonts w:ascii="Arial" w:hAnsi="Arial" w:cs="Arial"/>
                <w:sz w:val="20"/>
                <w:szCs w:val="20"/>
              </w:rPr>
              <w:t>1*</w:t>
            </w:r>
          </w:p>
        </w:tc>
        <w:tc>
          <w:tcPr>
            <w:tcW w:w="1186"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right="-43"/>
              <w:rPr>
                <w:rFonts w:ascii="Arial" w:hAnsi="Arial" w:cs="Arial"/>
                <w:sz w:val="20"/>
                <w:szCs w:val="20"/>
              </w:rPr>
            </w:pPr>
            <w:r w:rsidRPr="00F254B8">
              <w:rPr>
                <w:rFonts w:ascii="Arial" w:hAnsi="Arial" w:cs="Arial"/>
                <w:sz w:val="20"/>
                <w:szCs w:val="20"/>
              </w:rPr>
              <w:t>EU, 2009–2012</w:t>
            </w:r>
          </w:p>
        </w:tc>
      </w:tr>
      <w:tr w:rsidR="00927634" w:rsidRPr="00F254B8" w:rsidTr="00927634">
        <w:trPr>
          <w:trHeight w:hRule="exact" w:val="284"/>
        </w:trPr>
        <w:tc>
          <w:tcPr>
            <w:tcW w:w="2543"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3"/>
              <w:rPr>
                <w:rFonts w:ascii="Arial" w:hAnsi="Arial" w:cs="Arial"/>
                <w:sz w:val="20"/>
                <w:szCs w:val="20"/>
              </w:rPr>
            </w:pPr>
            <w:r w:rsidRPr="00F254B8">
              <w:rPr>
                <w:rFonts w:ascii="Arial" w:hAnsi="Arial" w:cs="Arial"/>
                <w:i/>
                <w:sz w:val="20"/>
                <w:szCs w:val="20"/>
              </w:rPr>
              <w:t>Pasteurella multocida (41)</w:t>
            </w:r>
          </w:p>
        </w:tc>
        <w:tc>
          <w:tcPr>
            <w:tcW w:w="762"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4"/>
              <w:jc w:val="center"/>
              <w:rPr>
                <w:rFonts w:ascii="Arial" w:hAnsi="Arial" w:cs="Arial"/>
                <w:sz w:val="20"/>
                <w:szCs w:val="20"/>
              </w:rPr>
            </w:pPr>
            <w:r w:rsidRPr="00F254B8">
              <w:rPr>
                <w:rFonts w:ascii="Arial" w:hAnsi="Arial" w:cs="Arial"/>
                <w:sz w:val="20"/>
                <w:szCs w:val="20"/>
              </w:rPr>
              <w:t>≤0,5</w:t>
            </w:r>
          </w:p>
        </w:tc>
        <w:tc>
          <w:tcPr>
            <w:tcW w:w="509"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autoSpaceDE w:val="0"/>
              <w:autoSpaceDN w:val="0"/>
              <w:adjustRightInd w:val="0"/>
              <w:jc w:val="center"/>
              <w:rPr>
                <w:rFonts w:ascii="Arial" w:hAnsi="Arial" w:cs="Arial"/>
                <w:sz w:val="20"/>
                <w:szCs w:val="20"/>
                <w:lang w:eastAsia="en-US"/>
              </w:rPr>
            </w:pPr>
            <w:r w:rsidRPr="00F254B8">
              <w:rPr>
                <w:rFonts w:ascii="Arial" w:hAnsi="Arial" w:cs="Arial"/>
                <w:sz w:val="20"/>
                <w:szCs w:val="20"/>
              </w:rPr>
              <w:t>2</w:t>
            </w:r>
          </w:p>
        </w:tc>
        <w:tc>
          <w:tcPr>
            <w:tcW w:w="1186"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autoSpaceDE w:val="0"/>
              <w:autoSpaceDN w:val="0"/>
              <w:adjustRightInd w:val="0"/>
              <w:ind w:right="-43"/>
              <w:rPr>
                <w:rFonts w:ascii="Arial" w:hAnsi="Arial" w:cs="Arial"/>
                <w:sz w:val="20"/>
                <w:szCs w:val="20"/>
                <w:lang w:eastAsia="en-US"/>
              </w:rPr>
            </w:pPr>
            <w:r w:rsidRPr="00F254B8">
              <w:rPr>
                <w:rFonts w:ascii="Arial" w:hAnsi="Arial" w:cs="Arial"/>
                <w:sz w:val="20"/>
                <w:szCs w:val="20"/>
                <w:lang w:eastAsia="en-US"/>
              </w:rPr>
              <w:t>ČR, 2020</w:t>
            </w:r>
          </w:p>
        </w:tc>
      </w:tr>
      <w:tr w:rsidR="00927634" w:rsidRPr="00F254B8" w:rsidTr="00927634">
        <w:trPr>
          <w:trHeight w:hRule="exact" w:val="284"/>
        </w:trPr>
        <w:tc>
          <w:tcPr>
            <w:tcW w:w="2543"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3"/>
              <w:rPr>
                <w:rFonts w:ascii="Arial" w:hAnsi="Arial" w:cs="Arial"/>
                <w:sz w:val="20"/>
                <w:szCs w:val="20"/>
              </w:rPr>
            </w:pPr>
            <w:r w:rsidRPr="00F254B8">
              <w:rPr>
                <w:rFonts w:ascii="Arial" w:hAnsi="Arial" w:cs="Arial"/>
                <w:i/>
                <w:sz w:val="20"/>
                <w:szCs w:val="20"/>
              </w:rPr>
              <w:t>Streptococcus suis (56)</w:t>
            </w:r>
          </w:p>
        </w:tc>
        <w:tc>
          <w:tcPr>
            <w:tcW w:w="762"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4"/>
              <w:jc w:val="center"/>
              <w:rPr>
                <w:rFonts w:ascii="Arial" w:hAnsi="Arial" w:cs="Arial"/>
                <w:sz w:val="20"/>
                <w:szCs w:val="20"/>
              </w:rPr>
            </w:pPr>
            <w:r w:rsidRPr="00F254B8">
              <w:rPr>
                <w:rFonts w:ascii="Arial" w:hAnsi="Arial" w:cs="Arial"/>
                <w:sz w:val="20"/>
                <w:szCs w:val="20"/>
              </w:rPr>
              <w:t>4</w:t>
            </w:r>
          </w:p>
        </w:tc>
        <w:tc>
          <w:tcPr>
            <w:tcW w:w="509"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autoSpaceDE w:val="0"/>
              <w:autoSpaceDN w:val="0"/>
              <w:adjustRightInd w:val="0"/>
              <w:jc w:val="center"/>
              <w:rPr>
                <w:rFonts w:ascii="Arial" w:hAnsi="Arial" w:cs="Arial"/>
                <w:sz w:val="20"/>
                <w:szCs w:val="20"/>
                <w:lang w:eastAsia="en-US"/>
              </w:rPr>
            </w:pPr>
            <w:r w:rsidRPr="00F254B8">
              <w:rPr>
                <w:rFonts w:ascii="Arial" w:hAnsi="Arial" w:cs="Arial"/>
                <w:sz w:val="20"/>
                <w:szCs w:val="20"/>
              </w:rPr>
              <w:sym w:font="Symbol" w:char="F03E"/>
            </w:r>
            <w:r w:rsidRPr="00F254B8">
              <w:rPr>
                <w:rFonts w:ascii="Arial" w:hAnsi="Arial" w:cs="Arial"/>
                <w:sz w:val="20"/>
                <w:szCs w:val="20"/>
              </w:rPr>
              <w:t>4</w:t>
            </w:r>
          </w:p>
        </w:tc>
        <w:tc>
          <w:tcPr>
            <w:tcW w:w="1186"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right="-43"/>
              <w:jc w:val="both"/>
              <w:rPr>
                <w:rFonts w:ascii="Arial" w:hAnsi="Arial" w:cs="Arial"/>
                <w:sz w:val="20"/>
                <w:szCs w:val="20"/>
              </w:rPr>
            </w:pPr>
            <w:r w:rsidRPr="00F254B8">
              <w:rPr>
                <w:rFonts w:ascii="Arial" w:hAnsi="Arial" w:cs="Arial"/>
                <w:sz w:val="20"/>
                <w:szCs w:val="20"/>
              </w:rPr>
              <w:t>ČR, 2020</w:t>
            </w:r>
          </w:p>
        </w:tc>
      </w:tr>
      <w:tr w:rsidR="00927634" w:rsidRPr="00F254B8" w:rsidTr="00927634">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27634" w:rsidRPr="00F254B8" w:rsidRDefault="00927634">
            <w:pPr>
              <w:jc w:val="center"/>
              <w:rPr>
                <w:rFonts w:ascii="Arial" w:hAnsi="Arial" w:cs="Arial"/>
                <w:b/>
                <w:i/>
                <w:sz w:val="20"/>
                <w:szCs w:val="20"/>
              </w:rPr>
            </w:pPr>
            <w:r w:rsidRPr="00F254B8">
              <w:rPr>
                <w:rFonts w:ascii="Arial" w:hAnsi="Arial" w:cs="Arial"/>
                <w:b/>
                <w:i/>
                <w:sz w:val="20"/>
                <w:szCs w:val="20"/>
              </w:rPr>
              <w:t>Brojler kura domácího</w:t>
            </w:r>
          </w:p>
        </w:tc>
      </w:tr>
      <w:tr w:rsidR="00927634" w:rsidRPr="00F254B8" w:rsidTr="00927634">
        <w:trPr>
          <w:trHeight w:hRule="exact" w:val="284"/>
        </w:trPr>
        <w:tc>
          <w:tcPr>
            <w:tcW w:w="2543" w:type="pct"/>
            <w:tcBorders>
              <w:top w:val="single" w:sz="4" w:space="0" w:color="auto"/>
              <w:left w:val="single" w:sz="4" w:space="0" w:color="auto"/>
              <w:bottom w:val="dashed" w:sz="4" w:space="0" w:color="auto"/>
              <w:right w:val="single" w:sz="4" w:space="0" w:color="auto"/>
            </w:tcBorders>
            <w:vAlign w:val="center"/>
          </w:tcPr>
          <w:p w:rsidR="00927634" w:rsidRPr="00F254B8" w:rsidRDefault="00927634">
            <w:pPr>
              <w:ind w:left="33"/>
              <w:rPr>
                <w:rFonts w:ascii="Arial" w:hAnsi="Arial" w:cs="Arial"/>
                <w:i/>
                <w:sz w:val="20"/>
                <w:szCs w:val="20"/>
              </w:rPr>
            </w:pPr>
            <w:r w:rsidRPr="00F254B8">
              <w:rPr>
                <w:rFonts w:ascii="Arial" w:hAnsi="Arial" w:cs="Arial"/>
                <w:i/>
                <w:iCs/>
                <w:sz w:val="20"/>
                <w:szCs w:val="20"/>
                <w:lang w:eastAsia="en-US"/>
              </w:rPr>
              <w:t>Bordetella avium (19)</w:t>
            </w:r>
          </w:p>
        </w:tc>
        <w:tc>
          <w:tcPr>
            <w:tcW w:w="762" w:type="pct"/>
            <w:tcBorders>
              <w:top w:val="single" w:sz="4" w:space="0" w:color="auto"/>
              <w:left w:val="single" w:sz="4" w:space="0" w:color="auto"/>
              <w:bottom w:val="dashed" w:sz="4" w:space="0" w:color="auto"/>
              <w:right w:val="single" w:sz="4" w:space="0" w:color="auto"/>
            </w:tcBorders>
            <w:vAlign w:val="center"/>
          </w:tcPr>
          <w:p w:rsidR="00927634" w:rsidRPr="00F254B8" w:rsidRDefault="00927634">
            <w:pPr>
              <w:ind w:left="34"/>
              <w:jc w:val="center"/>
              <w:rPr>
                <w:rFonts w:ascii="Arial" w:hAnsi="Arial" w:cs="Arial"/>
                <w:sz w:val="20"/>
                <w:szCs w:val="20"/>
              </w:rPr>
            </w:pPr>
            <w:r w:rsidRPr="00F254B8">
              <w:rPr>
                <w:rFonts w:ascii="Arial" w:hAnsi="Arial" w:cs="Arial"/>
                <w:sz w:val="20"/>
                <w:szCs w:val="20"/>
              </w:rPr>
              <w:t>0,06</w:t>
            </w:r>
          </w:p>
        </w:tc>
        <w:tc>
          <w:tcPr>
            <w:tcW w:w="509" w:type="pct"/>
            <w:tcBorders>
              <w:top w:val="single" w:sz="4" w:space="0" w:color="auto"/>
              <w:left w:val="single" w:sz="4" w:space="0" w:color="auto"/>
              <w:bottom w:val="dashed" w:sz="4" w:space="0" w:color="auto"/>
              <w:right w:val="single" w:sz="4" w:space="0" w:color="auto"/>
            </w:tcBorders>
            <w:vAlign w:val="center"/>
          </w:tcPr>
          <w:p w:rsidR="00927634" w:rsidRPr="00F254B8" w:rsidRDefault="00927634">
            <w:pPr>
              <w:ind w:left="33"/>
              <w:jc w:val="center"/>
              <w:rPr>
                <w:rFonts w:ascii="Arial" w:hAnsi="Arial" w:cs="Arial"/>
                <w:sz w:val="20"/>
                <w:szCs w:val="20"/>
              </w:rPr>
            </w:pPr>
          </w:p>
        </w:tc>
        <w:tc>
          <w:tcPr>
            <w:tcW w:w="1186" w:type="pct"/>
            <w:tcBorders>
              <w:top w:val="single" w:sz="4" w:space="0" w:color="auto"/>
              <w:left w:val="single" w:sz="4" w:space="0" w:color="auto"/>
              <w:bottom w:val="dashed" w:sz="4" w:space="0" w:color="auto"/>
              <w:right w:val="single" w:sz="4" w:space="0" w:color="auto"/>
            </w:tcBorders>
            <w:vAlign w:val="center"/>
          </w:tcPr>
          <w:p w:rsidR="00927634" w:rsidRPr="00F254B8" w:rsidRDefault="00927634">
            <w:pPr>
              <w:ind w:right="-76"/>
              <w:rPr>
                <w:rFonts w:ascii="Arial" w:hAnsi="Arial" w:cs="Arial"/>
                <w:sz w:val="20"/>
                <w:szCs w:val="20"/>
              </w:rPr>
            </w:pPr>
            <w:r w:rsidRPr="00F254B8">
              <w:rPr>
                <w:rFonts w:ascii="Arial" w:hAnsi="Arial" w:cs="Arial"/>
                <w:sz w:val="20"/>
                <w:szCs w:val="20"/>
              </w:rPr>
              <w:t>HU, 2014</w:t>
            </w:r>
          </w:p>
        </w:tc>
      </w:tr>
      <w:tr w:rsidR="00927634" w:rsidRPr="00F254B8" w:rsidTr="00927634">
        <w:trPr>
          <w:trHeight w:hRule="exact" w:val="284"/>
        </w:trPr>
        <w:tc>
          <w:tcPr>
            <w:tcW w:w="2543"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ind w:left="33"/>
              <w:rPr>
                <w:rFonts w:ascii="Arial" w:hAnsi="Arial" w:cs="Arial"/>
                <w:i/>
                <w:sz w:val="20"/>
                <w:szCs w:val="20"/>
              </w:rPr>
            </w:pPr>
            <w:r w:rsidRPr="00F254B8">
              <w:rPr>
                <w:rFonts w:ascii="Arial" w:hAnsi="Arial" w:cs="Arial"/>
                <w:i/>
                <w:sz w:val="20"/>
                <w:szCs w:val="20"/>
              </w:rPr>
              <w:t>Escherichia coli (190)</w:t>
            </w:r>
          </w:p>
        </w:tc>
        <w:tc>
          <w:tcPr>
            <w:tcW w:w="762"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autoSpaceDE w:val="0"/>
              <w:autoSpaceDN w:val="0"/>
              <w:adjustRightInd w:val="0"/>
              <w:jc w:val="center"/>
              <w:rPr>
                <w:rFonts w:ascii="Arial" w:hAnsi="Arial" w:cs="Arial"/>
                <w:sz w:val="20"/>
                <w:szCs w:val="20"/>
                <w:lang w:eastAsia="en-US"/>
              </w:rPr>
            </w:pPr>
            <w:r w:rsidRPr="00F254B8">
              <w:rPr>
                <w:rFonts w:ascii="Arial" w:hAnsi="Arial" w:cs="Arial"/>
                <w:sz w:val="20"/>
                <w:szCs w:val="20"/>
              </w:rPr>
              <w:t>≤2</w:t>
            </w:r>
          </w:p>
        </w:tc>
        <w:tc>
          <w:tcPr>
            <w:tcW w:w="509"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autoSpaceDE w:val="0"/>
              <w:autoSpaceDN w:val="0"/>
              <w:adjustRightInd w:val="0"/>
              <w:jc w:val="center"/>
              <w:rPr>
                <w:rFonts w:ascii="Arial" w:hAnsi="Arial" w:cs="Arial"/>
                <w:sz w:val="20"/>
                <w:szCs w:val="20"/>
              </w:rPr>
            </w:pPr>
            <w:r w:rsidRPr="00F254B8">
              <w:rPr>
                <w:rFonts w:ascii="Arial" w:hAnsi="Arial" w:cs="Arial"/>
                <w:sz w:val="20"/>
                <w:szCs w:val="20"/>
              </w:rPr>
              <w:t>&gt;16</w:t>
            </w:r>
          </w:p>
        </w:tc>
        <w:tc>
          <w:tcPr>
            <w:tcW w:w="1186" w:type="pct"/>
            <w:tcBorders>
              <w:top w:val="dashed" w:sz="4" w:space="0" w:color="auto"/>
              <w:left w:val="single" w:sz="4" w:space="0" w:color="auto"/>
              <w:bottom w:val="dashed" w:sz="4" w:space="0" w:color="auto"/>
              <w:right w:val="single" w:sz="4" w:space="0" w:color="auto"/>
            </w:tcBorders>
            <w:vAlign w:val="center"/>
          </w:tcPr>
          <w:p w:rsidR="00927634" w:rsidRPr="00F254B8" w:rsidRDefault="00927634">
            <w:pPr>
              <w:autoSpaceDE w:val="0"/>
              <w:autoSpaceDN w:val="0"/>
              <w:adjustRightInd w:val="0"/>
              <w:ind w:right="-76"/>
              <w:rPr>
                <w:rFonts w:ascii="Arial" w:hAnsi="Arial" w:cs="Arial"/>
                <w:sz w:val="20"/>
                <w:szCs w:val="20"/>
              </w:rPr>
            </w:pPr>
            <w:r w:rsidRPr="00F254B8">
              <w:rPr>
                <w:rFonts w:ascii="Arial" w:hAnsi="Arial" w:cs="Arial"/>
                <w:sz w:val="20"/>
                <w:szCs w:val="20"/>
                <w:lang w:eastAsia="en-US"/>
              </w:rPr>
              <w:t>ČR, 2020</w:t>
            </w:r>
          </w:p>
        </w:tc>
      </w:tr>
      <w:tr w:rsidR="00927634" w:rsidRPr="00F254B8" w:rsidTr="00927634">
        <w:trPr>
          <w:trHeight w:hRule="exact" w:val="284"/>
        </w:trPr>
        <w:tc>
          <w:tcPr>
            <w:tcW w:w="2543" w:type="pct"/>
            <w:tcBorders>
              <w:top w:val="dashed" w:sz="4" w:space="0" w:color="auto"/>
              <w:left w:val="single" w:sz="4" w:space="0" w:color="auto"/>
              <w:bottom w:val="single" w:sz="4" w:space="0" w:color="auto"/>
              <w:right w:val="single" w:sz="4" w:space="0" w:color="auto"/>
            </w:tcBorders>
            <w:vAlign w:val="center"/>
          </w:tcPr>
          <w:p w:rsidR="00927634" w:rsidRPr="00F254B8" w:rsidRDefault="00927634">
            <w:pPr>
              <w:ind w:left="33"/>
              <w:rPr>
                <w:rFonts w:ascii="Arial" w:hAnsi="Arial" w:cs="Arial"/>
                <w:i/>
                <w:sz w:val="20"/>
                <w:szCs w:val="20"/>
              </w:rPr>
            </w:pPr>
            <w:r w:rsidRPr="00F254B8">
              <w:rPr>
                <w:rFonts w:ascii="Arial" w:hAnsi="Arial" w:cs="Arial"/>
                <w:i/>
                <w:sz w:val="20"/>
                <w:szCs w:val="20"/>
                <w:lang w:eastAsia="en-US"/>
              </w:rPr>
              <w:t>Ornithobacterium rhinotracheale (36)</w:t>
            </w:r>
          </w:p>
        </w:tc>
        <w:tc>
          <w:tcPr>
            <w:tcW w:w="762" w:type="pct"/>
            <w:tcBorders>
              <w:top w:val="dashed" w:sz="4" w:space="0" w:color="auto"/>
              <w:left w:val="single" w:sz="4" w:space="0" w:color="auto"/>
              <w:bottom w:val="single" w:sz="4" w:space="0" w:color="auto"/>
              <w:right w:val="single" w:sz="4" w:space="0" w:color="auto"/>
            </w:tcBorders>
            <w:vAlign w:val="center"/>
          </w:tcPr>
          <w:p w:rsidR="00927634" w:rsidRPr="00F254B8" w:rsidRDefault="00927634">
            <w:pPr>
              <w:ind w:left="34"/>
              <w:jc w:val="center"/>
              <w:rPr>
                <w:rFonts w:ascii="Arial" w:hAnsi="Arial" w:cs="Arial"/>
                <w:sz w:val="20"/>
                <w:szCs w:val="20"/>
              </w:rPr>
            </w:pPr>
            <w:r w:rsidRPr="00F254B8">
              <w:rPr>
                <w:rFonts w:ascii="Arial" w:hAnsi="Arial" w:cs="Arial"/>
                <w:sz w:val="20"/>
                <w:szCs w:val="20"/>
              </w:rPr>
              <w:t>4</w:t>
            </w:r>
          </w:p>
        </w:tc>
        <w:tc>
          <w:tcPr>
            <w:tcW w:w="509" w:type="pct"/>
            <w:tcBorders>
              <w:top w:val="dashed" w:sz="4" w:space="0" w:color="auto"/>
              <w:left w:val="single" w:sz="4" w:space="0" w:color="auto"/>
              <w:bottom w:val="single" w:sz="4" w:space="0" w:color="auto"/>
              <w:right w:val="single" w:sz="4" w:space="0" w:color="auto"/>
            </w:tcBorders>
            <w:vAlign w:val="center"/>
          </w:tcPr>
          <w:p w:rsidR="00927634" w:rsidRPr="00F254B8" w:rsidRDefault="00927634">
            <w:pPr>
              <w:ind w:left="33"/>
              <w:jc w:val="center"/>
              <w:rPr>
                <w:rFonts w:ascii="Arial" w:hAnsi="Arial" w:cs="Arial"/>
                <w:sz w:val="20"/>
                <w:szCs w:val="20"/>
              </w:rPr>
            </w:pPr>
          </w:p>
        </w:tc>
        <w:tc>
          <w:tcPr>
            <w:tcW w:w="1186" w:type="pct"/>
            <w:tcBorders>
              <w:top w:val="dashed" w:sz="4" w:space="0" w:color="auto"/>
              <w:left w:val="single" w:sz="4" w:space="0" w:color="auto"/>
              <w:bottom w:val="single" w:sz="4" w:space="0" w:color="auto"/>
              <w:right w:val="single" w:sz="4" w:space="0" w:color="auto"/>
            </w:tcBorders>
            <w:vAlign w:val="center"/>
          </w:tcPr>
          <w:p w:rsidR="00927634" w:rsidRPr="00F254B8" w:rsidRDefault="00927634">
            <w:pPr>
              <w:ind w:right="-76"/>
              <w:rPr>
                <w:rFonts w:ascii="Arial" w:hAnsi="Arial" w:cs="Arial"/>
                <w:sz w:val="20"/>
                <w:szCs w:val="20"/>
              </w:rPr>
            </w:pPr>
            <w:r w:rsidRPr="00F254B8">
              <w:rPr>
                <w:rFonts w:ascii="Arial" w:hAnsi="Arial" w:cs="Arial"/>
                <w:sz w:val="20"/>
                <w:szCs w:val="20"/>
              </w:rPr>
              <w:t>HU, 2009, 2013</w:t>
            </w:r>
          </w:p>
        </w:tc>
      </w:tr>
    </w:tbl>
    <w:p w:rsidR="00927634" w:rsidRPr="00F254B8" w:rsidRDefault="00927634" w:rsidP="00927634">
      <w:pPr>
        <w:ind w:left="709"/>
        <w:jc w:val="both"/>
        <w:rPr>
          <w:rFonts w:ascii="Arial" w:hAnsi="Arial" w:cs="Arial"/>
          <w:sz w:val="20"/>
          <w:szCs w:val="20"/>
          <w:lang w:eastAsia="en-US"/>
        </w:rPr>
      </w:pPr>
      <w:r w:rsidRPr="00F254B8">
        <w:rPr>
          <w:rFonts w:ascii="Arial" w:hAnsi="Arial" w:cs="Arial"/>
          <w:sz w:val="20"/>
          <w:szCs w:val="20"/>
          <w:lang w:eastAsia="en-US"/>
        </w:rPr>
        <w:t xml:space="preserve">*hodnoty platné pro tetracyklin </w:t>
      </w:r>
    </w:p>
    <w:p w:rsidR="00927634" w:rsidRPr="00F254B8" w:rsidRDefault="00927634" w:rsidP="00927634">
      <w:pPr>
        <w:ind w:left="709"/>
        <w:jc w:val="both"/>
        <w:rPr>
          <w:rFonts w:ascii="Arial" w:hAnsi="Arial" w:cs="Arial"/>
          <w:sz w:val="20"/>
          <w:szCs w:val="20"/>
          <w:lang w:eastAsia="en-US"/>
        </w:rPr>
      </w:pP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Dle standardů CLSI (2018) jsou enterobakterie s hodnotou MIC ≤ 4 µg/ml k tetracyklinu/doxycyklinu citlivé, s MIC 8 µg/ml intermediární a s MIC ≥ 16 µg/ml rezistentní.</w:t>
      </w:r>
    </w:p>
    <w:p w:rsidR="00927634" w:rsidRPr="00F254B8" w:rsidRDefault="00927634" w:rsidP="00927634">
      <w:pPr>
        <w:jc w:val="both"/>
        <w:rPr>
          <w:rFonts w:ascii="Arial" w:hAnsi="Arial" w:cs="Arial"/>
          <w:sz w:val="22"/>
          <w:szCs w:val="22"/>
          <w:lang w:eastAsia="en-US"/>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5.2</w:t>
      </w:r>
      <w:r w:rsidRPr="00F254B8">
        <w:rPr>
          <w:rFonts w:ascii="Arial" w:hAnsi="Arial" w:cs="Arial"/>
          <w:b/>
          <w:bCs/>
          <w:sz w:val="22"/>
          <w:szCs w:val="22"/>
        </w:rPr>
        <w:tab/>
        <w:t>Farmakokinetické údaje</w:t>
      </w:r>
    </w:p>
    <w:p w:rsidR="00927634" w:rsidRPr="00F254B8" w:rsidRDefault="00927634" w:rsidP="00927634">
      <w:pPr>
        <w:ind w:left="720"/>
        <w:contextualSpacing/>
        <w:jc w:val="both"/>
        <w:rPr>
          <w:rFonts w:ascii="Arial" w:hAnsi="Arial"/>
          <w:sz w:val="22"/>
          <w:szCs w:val="22"/>
          <w:lang w:eastAsia="en-US"/>
        </w:rPr>
      </w:pPr>
      <w:r w:rsidRPr="00F254B8">
        <w:rPr>
          <w:rFonts w:ascii="Arial" w:hAnsi="Arial" w:cs="Arial"/>
          <w:sz w:val="22"/>
          <w:szCs w:val="22"/>
          <w:lang w:eastAsia="en-US"/>
        </w:rPr>
        <w:t xml:space="preserve">Doxycyklin se rychle a dobře vstřebává </w:t>
      </w:r>
      <w:r w:rsidRPr="00F254B8">
        <w:rPr>
          <w:rFonts w:ascii="Arial" w:hAnsi="Arial"/>
          <w:sz w:val="22"/>
          <w:szCs w:val="22"/>
          <w:lang w:eastAsia="en-US"/>
        </w:rPr>
        <w:t>z gastrointestinálního traktu</w:t>
      </w:r>
      <w:r w:rsidRPr="00F254B8">
        <w:rPr>
          <w:rFonts w:ascii="Arial" w:hAnsi="Arial" w:cs="Arial"/>
          <w:sz w:val="22"/>
          <w:szCs w:val="22"/>
          <w:lang w:eastAsia="en-US"/>
        </w:rPr>
        <w:t xml:space="preserve">. </w:t>
      </w:r>
      <w:r w:rsidRPr="00F254B8">
        <w:rPr>
          <w:rFonts w:ascii="Arial" w:hAnsi="Arial"/>
          <w:sz w:val="22"/>
          <w:szCs w:val="22"/>
          <w:lang w:eastAsia="en-US"/>
        </w:rPr>
        <w:t>Po perorálním podání se v porovnání tetracyklinem a chlortetracyklinem lépe vstřebává a je méně ovlivňován přijímaným krmivem (mlékem, solemi vápníku). V organismu je lépe distribuován a lépe prostupuje do dýchacího ústrojí a do cerebrospinálního moku, díky vyšší míře liposolubility a lepšímu průniku přes buněčné membrány než tetracyklin či chlortetracyklin.</w:t>
      </w:r>
    </w:p>
    <w:p w:rsidR="00927634" w:rsidRPr="00F254B8" w:rsidRDefault="00927634" w:rsidP="00927634">
      <w:pPr>
        <w:ind w:left="720"/>
        <w:contextualSpacing/>
        <w:jc w:val="both"/>
        <w:rPr>
          <w:rFonts w:ascii="Arial" w:hAnsi="Arial"/>
          <w:sz w:val="22"/>
          <w:szCs w:val="22"/>
          <w:lang w:eastAsia="en-US"/>
        </w:rPr>
      </w:pPr>
      <w:r w:rsidRPr="00F254B8">
        <w:rPr>
          <w:rFonts w:ascii="Arial" w:hAnsi="Arial"/>
          <w:sz w:val="22"/>
          <w:szCs w:val="22"/>
          <w:lang w:eastAsia="en-US"/>
        </w:rPr>
        <w:t>Doxycyklin ve srovnání s ostatními tetracykliny má delší eliminační poločas. Vazba na plazmatické bílkoviny je vysoká (</w:t>
      </w:r>
      <w:r w:rsidRPr="00F254B8">
        <w:rPr>
          <w:rFonts w:ascii="Arial" w:hAnsi="Arial" w:cs="Arial"/>
          <w:sz w:val="22"/>
          <w:szCs w:val="22"/>
          <w:lang w:eastAsia="en-US"/>
        </w:rPr>
        <w:t xml:space="preserve">&gt; </w:t>
      </w:r>
      <w:r w:rsidRPr="00F254B8">
        <w:rPr>
          <w:rFonts w:ascii="Arial" w:hAnsi="Arial"/>
          <w:sz w:val="22"/>
          <w:szCs w:val="22"/>
          <w:lang w:eastAsia="en-US"/>
        </w:rPr>
        <w:t>90 %).</w:t>
      </w:r>
    </w:p>
    <w:p w:rsidR="00927634" w:rsidRPr="00F254B8" w:rsidRDefault="00927634" w:rsidP="00927634">
      <w:pPr>
        <w:ind w:left="720"/>
        <w:contextualSpacing/>
        <w:jc w:val="both"/>
        <w:rPr>
          <w:rFonts w:ascii="Arial" w:hAnsi="Arial"/>
          <w:sz w:val="22"/>
          <w:szCs w:val="22"/>
          <w:lang w:eastAsia="en-US"/>
        </w:rPr>
      </w:pPr>
      <w:r w:rsidRPr="00F254B8">
        <w:rPr>
          <w:rFonts w:ascii="Arial" w:hAnsi="Arial"/>
          <w:sz w:val="22"/>
          <w:szCs w:val="22"/>
          <w:lang w:eastAsia="en-US"/>
        </w:rPr>
        <w:t>Tetracykliny nejsou v organismu téměř metabolizovány, takže jsou vylučovány v aktivní formě, a to především v trusu.</w:t>
      </w:r>
    </w:p>
    <w:p w:rsidR="00927634" w:rsidRPr="00F254B8" w:rsidRDefault="00927634" w:rsidP="00927634">
      <w:pPr>
        <w:jc w:val="both"/>
        <w:rPr>
          <w:rFonts w:ascii="Arial" w:hAnsi="Arial"/>
          <w:sz w:val="22"/>
          <w:szCs w:val="22"/>
          <w:lang w:eastAsia="en-US"/>
        </w:rPr>
      </w:pPr>
    </w:p>
    <w:p w:rsidR="00927634" w:rsidRPr="00F254B8" w:rsidRDefault="00927634" w:rsidP="00927634">
      <w:pPr>
        <w:keepNext/>
        <w:jc w:val="both"/>
        <w:rPr>
          <w:rFonts w:ascii="Arial" w:hAnsi="Arial"/>
          <w:sz w:val="22"/>
          <w:szCs w:val="22"/>
          <w:u w:val="single"/>
          <w:lang w:eastAsia="en-US"/>
        </w:rPr>
      </w:pPr>
      <w:r w:rsidRPr="00F254B8">
        <w:rPr>
          <w:rFonts w:ascii="Arial" w:hAnsi="Arial"/>
          <w:sz w:val="22"/>
          <w:szCs w:val="22"/>
          <w:lang w:eastAsia="en-US"/>
        </w:rPr>
        <w:tab/>
      </w:r>
      <w:r w:rsidRPr="00F254B8">
        <w:rPr>
          <w:rFonts w:ascii="Arial" w:hAnsi="Arial"/>
          <w:sz w:val="22"/>
          <w:szCs w:val="22"/>
          <w:u w:val="single"/>
          <w:lang w:eastAsia="en-US"/>
        </w:rPr>
        <w:t>Prasata</w:t>
      </w:r>
    </w:p>
    <w:p w:rsidR="00927634" w:rsidRPr="00F254B8" w:rsidRDefault="00927634" w:rsidP="00927634">
      <w:pPr>
        <w:ind w:left="720"/>
        <w:contextualSpacing/>
        <w:jc w:val="both"/>
        <w:rPr>
          <w:rFonts w:ascii="Arial" w:hAnsi="Arial"/>
          <w:sz w:val="22"/>
          <w:szCs w:val="22"/>
          <w:lang w:eastAsia="en-US"/>
        </w:rPr>
      </w:pPr>
      <w:r w:rsidRPr="00F254B8">
        <w:rPr>
          <w:rFonts w:ascii="Arial" w:hAnsi="Arial"/>
          <w:sz w:val="22"/>
          <w:szCs w:val="22"/>
          <w:lang w:eastAsia="en-US"/>
        </w:rPr>
        <w:t>Biologická dostupnost u prasat je přibližně 21 %,</w:t>
      </w:r>
      <w:r w:rsidRPr="00F254B8">
        <w:t xml:space="preserve"> </w:t>
      </w:r>
      <w:r w:rsidRPr="00F254B8">
        <w:rPr>
          <w:rFonts w:ascii="Arial" w:hAnsi="Arial"/>
          <w:sz w:val="22"/>
          <w:szCs w:val="22"/>
          <w:lang w:eastAsia="en-US"/>
        </w:rPr>
        <w:t xml:space="preserve">její míra závisí také na příjmu potravy. </w:t>
      </w:r>
    </w:p>
    <w:p w:rsidR="00927634" w:rsidRPr="00F254B8" w:rsidRDefault="00927634" w:rsidP="00927634">
      <w:pPr>
        <w:ind w:left="720"/>
        <w:contextualSpacing/>
        <w:jc w:val="both"/>
        <w:rPr>
          <w:rFonts w:ascii="Arial" w:hAnsi="Arial"/>
          <w:sz w:val="22"/>
          <w:szCs w:val="22"/>
          <w:lang w:eastAsia="en-US"/>
        </w:rPr>
      </w:pPr>
      <w:r w:rsidRPr="00F254B8">
        <w:rPr>
          <w:rFonts w:ascii="Arial" w:hAnsi="Arial"/>
          <w:sz w:val="22"/>
          <w:szCs w:val="22"/>
          <w:lang w:eastAsia="en-US"/>
        </w:rPr>
        <w:t>Po perorálním podání doxycyklinu v dávce 10,5 mg/kg je dosaženo maximální koncentrace 1,5 μg/ml (C</w:t>
      </w:r>
      <w:r w:rsidRPr="00F254B8">
        <w:rPr>
          <w:rFonts w:ascii="Arial" w:hAnsi="Arial"/>
          <w:sz w:val="22"/>
          <w:szCs w:val="22"/>
          <w:vertAlign w:val="subscript"/>
          <w:lang w:eastAsia="en-US"/>
        </w:rPr>
        <w:t>max</w:t>
      </w:r>
      <w:r w:rsidRPr="00F254B8">
        <w:rPr>
          <w:rFonts w:ascii="Arial" w:hAnsi="Arial"/>
          <w:sz w:val="22"/>
          <w:szCs w:val="22"/>
          <w:lang w:eastAsia="en-US"/>
        </w:rPr>
        <w:t>) za 2,3 h (T</w:t>
      </w:r>
      <w:r w:rsidRPr="00F254B8">
        <w:rPr>
          <w:rFonts w:ascii="Arial" w:hAnsi="Arial"/>
          <w:sz w:val="22"/>
          <w:szCs w:val="22"/>
          <w:vertAlign w:val="subscript"/>
          <w:lang w:eastAsia="en-US"/>
        </w:rPr>
        <w:t>max</w:t>
      </w:r>
      <w:r w:rsidRPr="00F254B8">
        <w:rPr>
          <w:rFonts w:ascii="Arial" w:hAnsi="Arial"/>
          <w:sz w:val="22"/>
          <w:szCs w:val="22"/>
          <w:lang w:eastAsia="en-US"/>
        </w:rPr>
        <w:t xml:space="preserve">). Koncentrace </w:t>
      </w:r>
      <w:r w:rsidRPr="00F254B8">
        <w:rPr>
          <w:rFonts w:ascii="Arial" w:hAnsi="Arial" w:cs="Arial"/>
          <w:sz w:val="22"/>
          <w:szCs w:val="22"/>
          <w:lang w:eastAsia="en-US"/>
        </w:rPr>
        <w:t xml:space="preserve">převyšující </w:t>
      </w:r>
      <w:r w:rsidRPr="00F254B8">
        <w:rPr>
          <w:rFonts w:ascii="Arial" w:hAnsi="Arial"/>
          <w:sz w:val="22"/>
          <w:szCs w:val="22"/>
          <w:lang w:eastAsia="en-US"/>
        </w:rPr>
        <w:t xml:space="preserve">0,5 μg/ml je po jednorázovém perorálním podání v plazmě udržována po dobu nejméně 9 hodin. </w:t>
      </w:r>
    </w:p>
    <w:p w:rsidR="00927634" w:rsidRPr="00F254B8" w:rsidRDefault="00927634" w:rsidP="00927634">
      <w:pPr>
        <w:ind w:left="720"/>
        <w:contextualSpacing/>
        <w:jc w:val="both"/>
        <w:rPr>
          <w:rFonts w:ascii="Arial" w:hAnsi="Arial" w:cs="Arial"/>
          <w:sz w:val="22"/>
          <w:szCs w:val="22"/>
          <w:lang w:eastAsia="en-US"/>
        </w:rPr>
      </w:pPr>
      <w:r w:rsidRPr="00F254B8">
        <w:rPr>
          <w:rFonts w:ascii="Arial" w:hAnsi="Arial" w:cs="Arial"/>
          <w:sz w:val="22"/>
          <w:szCs w:val="22"/>
          <w:lang w:eastAsia="en-US"/>
        </w:rPr>
        <w:t>Po 5denním perorálním podávání ve vodě byla dosažena průměrná plazmatická koncentrace doxycyklinu 0,83–0,96 µg/ml.</w:t>
      </w:r>
    </w:p>
    <w:p w:rsidR="00927634" w:rsidRPr="00F254B8" w:rsidRDefault="00927634" w:rsidP="00927634">
      <w:pPr>
        <w:ind w:left="720"/>
        <w:contextualSpacing/>
        <w:jc w:val="both"/>
        <w:rPr>
          <w:rFonts w:ascii="Arial" w:hAnsi="Arial" w:cs="Arial"/>
          <w:sz w:val="22"/>
          <w:szCs w:val="22"/>
          <w:lang w:eastAsia="en-US"/>
        </w:rPr>
      </w:pPr>
      <w:r w:rsidRPr="00F254B8">
        <w:rPr>
          <w:rFonts w:ascii="Arial" w:hAnsi="Arial" w:cs="Arial"/>
          <w:sz w:val="22"/>
          <w:szCs w:val="22"/>
          <w:lang w:eastAsia="en-US"/>
        </w:rPr>
        <w:t>Doxycyklin díky vyšší liposolubilitě než základní tetracykliny lépe prostupuje biologickými bariérami a dobře proniká do tkáně plic a nosního sekretu.</w:t>
      </w:r>
    </w:p>
    <w:p w:rsidR="00927634" w:rsidRPr="00F254B8" w:rsidRDefault="00927634" w:rsidP="00927634">
      <w:pPr>
        <w:ind w:left="720"/>
        <w:contextualSpacing/>
        <w:jc w:val="both"/>
        <w:rPr>
          <w:rFonts w:ascii="Arial" w:hAnsi="Arial" w:cs="Arial"/>
          <w:sz w:val="22"/>
          <w:szCs w:val="22"/>
          <w:lang w:eastAsia="en-US"/>
        </w:rPr>
      </w:pPr>
      <w:r w:rsidRPr="00F254B8">
        <w:rPr>
          <w:rFonts w:ascii="Arial" w:hAnsi="Arial" w:cs="Arial"/>
          <w:sz w:val="22"/>
          <w:szCs w:val="22"/>
          <w:lang w:eastAsia="en-US"/>
        </w:rPr>
        <w:t>Doxycyklin nepodléhá u prasat biotransformaci a vylučuje se ve faeces.</w:t>
      </w:r>
    </w:p>
    <w:p w:rsidR="00927634" w:rsidRPr="00F254B8" w:rsidRDefault="00927634" w:rsidP="00927634">
      <w:pPr>
        <w:ind w:left="720"/>
        <w:contextualSpacing/>
        <w:jc w:val="both"/>
        <w:rPr>
          <w:rFonts w:ascii="Arial" w:hAnsi="Arial"/>
          <w:sz w:val="22"/>
          <w:szCs w:val="22"/>
          <w:lang w:eastAsia="en-US"/>
        </w:rPr>
      </w:pPr>
    </w:p>
    <w:p w:rsidR="00927634" w:rsidRPr="00F254B8" w:rsidRDefault="00927634" w:rsidP="00927634">
      <w:pPr>
        <w:keepNext/>
        <w:jc w:val="both"/>
        <w:rPr>
          <w:rFonts w:ascii="Arial" w:hAnsi="Arial"/>
          <w:sz w:val="22"/>
          <w:szCs w:val="22"/>
          <w:lang w:eastAsia="en-US"/>
        </w:rPr>
      </w:pPr>
      <w:r w:rsidRPr="00F254B8">
        <w:rPr>
          <w:rFonts w:ascii="Arial" w:hAnsi="Arial"/>
          <w:sz w:val="22"/>
          <w:szCs w:val="22"/>
          <w:lang w:eastAsia="en-US"/>
        </w:rPr>
        <w:tab/>
      </w:r>
      <w:r w:rsidRPr="00F254B8">
        <w:rPr>
          <w:rFonts w:ascii="Arial" w:hAnsi="Arial"/>
          <w:sz w:val="22"/>
          <w:szCs w:val="22"/>
          <w:u w:val="single"/>
          <w:lang w:eastAsia="en-US"/>
        </w:rPr>
        <w:t>Kur domácí</w:t>
      </w:r>
    </w:p>
    <w:p w:rsidR="00927634" w:rsidRPr="00F254B8" w:rsidRDefault="00927634" w:rsidP="00927634">
      <w:pPr>
        <w:ind w:left="720"/>
        <w:contextualSpacing/>
        <w:jc w:val="both"/>
        <w:rPr>
          <w:rFonts w:ascii="Arial" w:hAnsi="Arial"/>
          <w:sz w:val="22"/>
          <w:szCs w:val="22"/>
          <w:lang w:eastAsia="en-US"/>
        </w:rPr>
      </w:pPr>
      <w:r w:rsidRPr="00F254B8">
        <w:rPr>
          <w:rFonts w:ascii="Arial" w:hAnsi="Arial"/>
          <w:sz w:val="22"/>
          <w:szCs w:val="22"/>
          <w:lang w:eastAsia="en-US"/>
        </w:rPr>
        <w:t>Biologická dostupnost u kura domácího je přibližně 41 %. Míra biologické dostupnosti se mění s věkem zvířat.</w:t>
      </w:r>
    </w:p>
    <w:p w:rsidR="00927634" w:rsidRPr="00F254B8" w:rsidRDefault="00927634" w:rsidP="00927634">
      <w:pPr>
        <w:ind w:left="720"/>
        <w:contextualSpacing/>
        <w:jc w:val="both"/>
        <w:rPr>
          <w:rFonts w:ascii="Arial" w:hAnsi="Arial"/>
          <w:sz w:val="22"/>
          <w:szCs w:val="22"/>
          <w:lang w:eastAsia="en-US"/>
        </w:rPr>
      </w:pPr>
      <w:r w:rsidRPr="00F254B8">
        <w:rPr>
          <w:rFonts w:ascii="Arial" w:hAnsi="Arial"/>
          <w:sz w:val="22"/>
          <w:szCs w:val="22"/>
          <w:lang w:eastAsia="en-US"/>
        </w:rPr>
        <w:t>Po perorálním podání doxycyklinu v dávce 20 mg/kg je dosaženo maximální koncentrace 54,58 μg/ml (C</w:t>
      </w:r>
      <w:r w:rsidRPr="00F254B8">
        <w:rPr>
          <w:rFonts w:ascii="Arial" w:hAnsi="Arial"/>
          <w:sz w:val="22"/>
          <w:szCs w:val="22"/>
          <w:vertAlign w:val="subscript"/>
          <w:lang w:eastAsia="en-US"/>
        </w:rPr>
        <w:t>max</w:t>
      </w:r>
      <w:r w:rsidRPr="00F254B8">
        <w:rPr>
          <w:rFonts w:ascii="Arial" w:hAnsi="Arial"/>
          <w:sz w:val="22"/>
          <w:szCs w:val="22"/>
          <w:lang w:eastAsia="en-US"/>
        </w:rPr>
        <w:t>) za 0,35 h (T</w:t>
      </w:r>
      <w:r w:rsidRPr="00F254B8">
        <w:rPr>
          <w:rFonts w:ascii="Arial" w:hAnsi="Arial"/>
          <w:sz w:val="22"/>
          <w:szCs w:val="22"/>
          <w:vertAlign w:val="subscript"/>
          <w:lang w:eastAsia="en-US"/>
        </w:rPr>
        <w:t>max</w:t>
      </w:r>
      <w:r w:rsidRPr="00F254B8">
        <w:rPr>
          <w:rFonts w:ascii="Arial" w:hAnsi="Arial"/>
          <w:sz w:val="22"/>
          <w:szCs w:val="22"/>
          <w:lang w:eastAsia="en-US"/>
        </w:rPr>
        <w:t xml:space="preserve">). Koncentrace převyšující 1 μg/ml je po </w:t>
      </w:r>
      <w:r w:rsidRPr="00F254B8">
        <w:rPr>
          <w:rFonts w:ascii="Arial" w:hAnsi="Arial"/>
          <w:sz w:val="22"/>
          <w:szCs w:val="22"/>
          <w:lang w:eastAsia="en-US"/>
        </w:rPr>
        <w:lastRenderedPageBreak/>
        <w:t>jednorázovém i 4denním perorálním podávání v plazmě udržována po dobu nejméně 12 hodin.</w:t>
      </w:r>
    </w:p>
    <w:p w:rsidR="00927634" w:rsidRPr="00F254B8" w:rsidRDefault="00927634" w:rsidP="00927634">
      <w:pPr>
        <w:ind w:left="720"/>
        <w:contextualSpacing/>
        <w:jc w:val="both"/>
        <w:rPr>
          <w:rFonts w:ascii="Arial" w:hAnsi="Arial"/>
          <w:sz w:val="22"/>
          <w:szCs w:val="22"/>
          <w:lang w:eastAsia="en-US"/>
        </w:rPr>
      </w:pPr>
      <w:r w:rsidRPr="00F254B8">
        <w:rPr>
          <w:rFonts w:ascii="Arial" w:hAnsi="Arial"/>
          <w:sz w:val="22"/>
          <w:szCs w:val="22"/>
          <w:lang w:eastAsia="en-US"/>
        </w:rPr>
        <w:t>Koncentrace doxycyklinu ve tkáních plic, jater a ledvin jsou vyšší než v plazmě a to zejména u zvířat s probíhající infekcí, kde byl prokázán zvýšený průnik léčivé látky do tkání.</w:t>
      </w:r>
    </w:p>
    <w:p w:rsidR="00927634" w:rsidRPr="00F254B8" w:rsidRDefault="00927634" w:rsidP="00927634">
      <w:pPr>
        <w:ind w:left="709"/>
        <w:jc w:val="both"/>
        <w:rPr>
          <w:rFonts w:ascii="Arial" w:hAnsi="Arial" w:cs="Arial"/>
          <w:b/>
          <w:sz w:val="22"/>
          <w:szCs w:val="22"/>
        </w:rPr>
      </w:pPr>
      <w:r w:rsidRPr="00F254B8">
        <w:rPr>
          <w:rFonts w:ascii="Arial" w:hAnsi="Arial" w:cs="Arial"/>
          <w:b/>
          <w:sz w:val="22"/>
          <w:szCs w:val="22"/>
        </w:rPr>
        <w:t xml:space="preserve"> </w:t>
      </w:r>
    </w:p>
    <w:p w:rsidR="00927634" w:rsidRPr="00F254B8" w:rsidRDefault="00927634" w:rsidP="00927634">
      <w:pPr>
        <w:keepNext/>
        <w:tabs>
          <w:tab w:val="left" w:pos="709"/>
        </w:tabs>
        <w:ind w:left="709" w:hanging="709"/>
        <w:rPr>
          <w:rFonts w:ascii="Arial" w:hAnsi="Arial" w:cs="Arial"/>
          <w:b/>
          <w:bCs/>
          <w:sz w:val="22"/>
          <w:szCs w:val="22"/>
        </w:rPr>
      </w:pPr>
      <w:r w:rsidRPr="00F254B8">
        <w:rPr>
          <w:rFonts w:ascii="Arial" w:hAnsi="Arial" w:cs="Arial"/>
          <w:b/>
          <w:bCs/>
          <w:sz w:val="22"/>
          <w:szCs w:val="22"/>
        </w:rPr>
        <w:t>6.</w:t>
      </w:r>
      <w:r w:rsidRPr="00F254B8">
        <w:rPr>
          <w:rFonts w:ascii="Arial" w:hAnsi="Arial" w:cs="Arial"/>
          <w:b/>
          <w:bCs/>
          <w:sz w:val="22"/>
          <w:szCs w:val="22"/>
        </w:rPr>
        <w:tab/>
        <w:t>FARMACEUTICKÉ ÚDAJE</w:t>
      </w: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6.1</w:t>
      </w:r>
      <w:r w:rsidRPr="00F254B8">
        <w:rPr>
          <w:rFonts w:ascii="Arial" w:hAnsi="Arial" w:cs="Arial"/>
          <w:b/>
          <w:bCs/>
          <w:sz w:val="22"/>
          <w:szCs w:val="22"/>
        </w:rPr>
        <w:tab/>
        <w:t>Seznam pomocných látek</w:t>
      </w:r>
    </w:p>
    <w:p w:rsidR="00927634" w:rsidRPr="00F254B8" w:rsidRDefault="00927634" w:rsidP="00927634">
      <w:pPr>
        <w:ind w:left="709"/>
        <w:rPr>
          <w:rFonts w:ascii="Arial" w:hAnsi="Arial" w:cs="Arial"/>
          <w:sz w:val="22"/>
          <w:szCs w:val="22"/>
        </w:rPr>
      </w:pPr>
      <w:r w:rsidRPr="00F254B8">
        <w:rPr>
          <w:rFonts w:ascii="Arial" w:hAnsi="Arial" w:cs="Arial"/>
          <w:sz w:val="22"/>
          <w:szCs w:val="22"/>
        </w:rPr>
        <w:t>Kyselina citronová</w:t>
      </w:r>
    </w:p>
    <w:p w:rsidR="00927634" w:rsidRPr="00F254B8" w:rsidRDefault="00927634" w:rsidP="00927634">
      <w:pPr>
        <w:rPr>
          <w:rFonts w:ascii="Arial" w:hAnsi="Arial" w:cs="Arial"/>
          <w:b/>
          <w:bCs/>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6.2</w:t>
      </w:r>
      <w:r w:rsidRPr="00F254B8">
        <w:rPr>
          <w:rFonts w:ascii="Arial" w:hAnsi="Arial" w:cs="Arial"/>
          <w:b/>
          <w:bCs/>
          <w:sz w:val="22"/>
          <w:szCs w:val="22"/>
        </w:rPr>
        <w:tab/>
        <w:t>Hlavní inkompatibility</w:t>
      </w:r>
    </w:p>
    <w:p w:rsidR="00927634" w:rsidRPr="00F254B8" w:rsidRDefault="00927634" w:rsidP="00927634">
      <w:pPr>
        <w:ind w:left="709"/>
        <w:rPr>
          <w:rFonts w:ascii="Arial" w:hAnsi="Arial" w:cs="Arial"/>
          <w:sz w:val="22"/>
          <w:szCs w:val="22"/>
        </w:rPr>
      </w:pPr>
      <w:r w:rsidRPr="00F254B8">
        <w:rPr>
          <w:rFonts w:ascii="Arial" w:hAnsi="Arial" w:cs="Arial"/>
          <w:sz w:val="22"/>
          <w:szCs w:val="22"/>
        </w:rPr>
        <w:t>Neuplatňuje se.</w:t>
      </w:r>
    </w:p>
    <w:p w:rsidR="00927634" w:rsidRPr="00F254B8" w:rsidRDefault="00927634" w:rsidP="00927634">
      <w:pPr>
        <w:tabs>
          <w:tab w:val="num" w:pos="1440"/>
        </w:tabs>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6.3</w:t>
      </w:r>
      <w:r w:rsidRPr="00F254B8">
        <w:rPr>
          <w:rFonts w:ascii="Arial" w:hAnsi="Arial" w:cs="Arial"/>
          <w:b/>
          <w:bCs/>
          <w:sz w:val="22"/>
          <w:szCs w:val="22"/>
        </w:rPr>
        <w:tab/>
        <w:t>Doba použitelnosti</w:t>
      </w:r>
    </w:p>
    <w:p w:rsidR="00927634" w:rsidRPr="00F254B8" w:rsidRDefault="00927634" w:rsidP="00927634">
      <w:pPr>
        <w:ind w:left="709"/>
        <w:rPr>
          <w:rFonts w:ascii="Arial" w:hAnsi="Arial" w:cs="Arial"/>
          <w:sz w:val="22"/>
          <w:szCs w:val="22"/>
        </w:rPr>
      </w:pPr>
      <w:r w:rsidRPr="00F254B8">
        <w:rPr>
          <w:rFonts w:ascii="Arial" w:hAnsi="Arial" w:cs="Arial"/>
          <w:sz w:val="22"/>
          <w:szCs w:val="22"/>
        </w:rPr>
        <w:t>Doba použitelnosti veterinárního léčivého přípravku v neporušeném obalu: 3 roky.</w:t>
      </w:r>
    </w:p>
    <w:p w:rsidR="00927634" w:rsidRPr="00F254B8" w:rsidRDefault="00927634" w:rsidP="00927634">
      <w:pPr>
        <w:ind w:left="709"/>
        <w:rPr>
          <w:rFonts w:ascii="Arial" w:hAnsi="Arial" w:cs="Arial"/>
          <w:sz w:val="22"/>
          <w:szCs w:val="22"/>
        </w:rPr>
      </w:pPr>
      <w:r w:rsidRPr="00F254B8">
        <w:rPr>
          <w:rFonts w:ascii="Arial" w:hAnsi="Arial" w:cs="Arial"/>
          <w:sz w:val="22"/>
          <w:szCs w:val="22"/>
        </w:rPr>
        <w:t>Doba použitelnosti po prvním otevření vnitřního obalu: 6 měsíců.</w:t>
      </w:r>
    </w:p>
    <w:p w:rsidR="00927634" w:rsidRPr="00F254B8" w:rsidRDefault="00927634" w:rsidP="00927634">
      <w:pPr>
        <w:ind w:left="709"/>
        <w:rPr>
          <w:rFonts w:ascii="Arial" w:hAnsi="Arial" w:cs="Arial"/>
          <w:sz w:val="22"/>
          <w:szCs w:val="22"/>
        </w:rPr>
      </w:pPr>
      <w:r w:rsidRPr="00F254B8">
        <w:rPr>
          <w:rFonts w:ascii="Arial" w:hAnsi="Arial" w:cs="Arial"/>
          <w:sz w:val="22"/>
          <w:szCs w:val="22"/>
        </w:rPr>
        <w:t>Doba použitelnosti po rozpuštění v pitné vodě: 24 hodin.</w:t>
      </w:r>
    </w:p>
    <w:p w:rsidR="00927634" w:rsidRPr="00F254B8" w:rsidRDefault="00927634" w:rsidP="00927634">
      <w:pPr>
        <w:ind w:left="709"/>
        <w:rPr>
          <w:rFonts w:ascii="Arial" w:hAnsi="Arial" w:cs="Arial"/>
          <w:sz w:val="22"/>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6.4</w:t>
      </w:r>
      <w:r w:rsidRPr="00F254B8">
        <w:rPr>
          <w:rFonts w:ascii="Arial" w:hAnsi="Arial" w:cs="Arial"/>
          <w:b/>
          <w:bCs/>
          <w:sz w:val="22"/>
          <w:szCs w:val="22"/>
        </w:rPr>
        <w:tab/>
        <w:t>Zvláštní opatření pro uchovávání</w:t>
      </w:r>
    </w:p>
    <w:p w:rsidR="00927634" w:rsidRPr="00F254B8" w:rsidRDefault="00927634" w:rsidP="00927634">
      <w:pPr>
        <w:ind w:left="709"/>
        <w:rPr>
          <w:rFonts w:ascii="Arial" w:hAnsi="Arial" w:cs="Arial"/>
          <w:sz w:val="22"/>
        </w:rPr>
      </w:pPr>
      <w:r w:rsidRPr="00F254B8">
        <w:rPr>
          <w:rFonts w:ascii="Arial" w:hAnsi="Arial" w:cs="Arial"/>
          <w:sz w:val="22"/>
        </w:rPr>
        <w:t>Chraňte před světlem.</w:t>
      </w:r>
    </w:p>
    <w:p w:rsidR="00927634" w:rsidRPr="00F254B8" w:rsidRDefault="00927634" w:rsidP="00927634">
      <w:pPr>
        <w:tabs>
          <w:tab w:val="num" w:pos="1440"/>
        </w:tabs>
        <w:ind w:left="709"/>
        <w:rPr>
          <w:rFonts w:ascii="Arial" w:hAnsi="Arial" w:cs="Arial"/>
          <w:szCs w:val="22"/>
        </w:rPr>
      </w:pPr>
    </w:p>
    <w:p w:rsidR="00927634" w:rsidRPr="00F254B8" w:rsidRDefault="00927634" w:rsidP="00927634">
      <w:pPr>
        <w:keepNext/>
        <w:rPr>
          <w:rFonts w:ascii="Arial" w:hAnsi="Arial" w:cs="Arial"/>
          <w:b/>
          <w:bCs/>
          <w:sz w:val="22"/>
          <w:szCs w:val="22"/>
        </w:rPr>
      </w:pPr>
      <w:r w:rsidRPr="00F254B8">
        <w:rPr>
          <w:rFonts w:ascii="Arial" w:hAnsi="Arial" w:cs="Arial"/>
          <w:b/>
          <w:bCs/>
          <w:sz w:val="22"/>
          <w:szCs w:val="22"/>
        </w:rPr>
        <w:t>6.5</w:t>
      </w:r>
      <w:r w:rsidRPr="00F254B8">
        <w:rPr>
          <w:rFonts w:ascii="Arial" w:hAnsi="Arial" w:cs="Arial"/>
          <w:b/>
          <w:bCs/>
          <w:sz w:val="22"/>
          <w:szCs w:val="22"/>
        </w:rPr>
        <w:tab/>
        <w:t>Druh a složení vnitřního obalu</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Třívrstvý metalizovaný vak s vnitřní PE vrstvou:</w:t>
      </w:r>
      <w:r w:rsidR="0044169A" w:rsidRPr="00F254B8">
        <w:rPr>
          <w:rFonts w:ascii="Arial" w:hAnsi="Arial" w:cs="Arial"/>
          <w:sz w:val="22"/>
          <w:szCs w:val="22"/>
        </w:rPr>
        <w:t xml:space="preserve"> 3 kg,</w:t>
      </w:r>
      <w:r w:rsidRPr="00F254B8">
        <w:rPr>
          <w:rFonts w:ascii="Arial" w:hAnsi="Arial" w:cs="Arial"/>
          <w:sz w:val="22"/>
          <w:szCs w:val="22"/>
        </w:rPr>
        <w:t xml:space="preserve"> 5 kg a 10 kg.</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Sáček z třívrstvé metalické fólie s vnitřní PE vrstvou: 0,5 kg, 1 kg, 3 kg, 5 kg a 10 kg.</w:t>
      </w:r>
    </w:p>
    <w:p w:rsidR="00927634" w:rsidRPr="00F254B8" w:rsidRDefault="00927634" w:rsidP="00927634">
      <w:pPr>
        <w:ind w:left="709"/>
        <w:rPr>
          <w:rFonts w:ascii="Arial" w:hAnsi="Arial" w:cs="Arial"/>
          <w:sz w:val="22"/>
          <w:szCs w:val="22"/>
        </w:rPr>
      </w:pPr>
      <w:r w:rsidRPr="00F254B8">
        <w:rPr>
          <w:rFonts w:ascii="Arial" w:hAnsi="Arial" w:cs="Arial"/>
          <w:sz w:val="22"/>
          <w:szCs w:val="22"/>
        </w:rPr>
        <w:t>Na trhu nemusí být všechny velikosti balení.</w:t>
      </w:r>
    </w:p>
    <w:p w:rsidR="00927634" w:rsidRPr="00F254B8" w:rsidRDefault="00927634" w:rsidP="00927634">
      <w:pPr>
        <w:rPr>
          <w:rFonts w:ascii="Arial" w:hAnsi="Arial" w:cs="Arial"/>
          <w:sz w:val="22"/>
          <w:szCs w:val="22"/>
        </w:rPr>
      </w:pPr>
    </w:p>
    <w:p w:rsidR="00927634" w:rsidRPr="00F254B8" w:rsidRDefault="00927634" w:rsidP="00927634">
      <w:pPr>
        <w:keepNext/>
        <w:ind w:left="707" w:hanging="707"/>
        <w:rPr>
          <w:rFonts w:ascii="Arial" w:hAnsi="Arial" w:cs="Arial"/>
          <w:b/>
          <w:bCs/>
          <w:sz w:val="22"/>
          <w:szCs w:val="22"/>
        </w:rPr>
      </w:pPr>
      <w:r w:rsidRPr="00F254B8">
        <w:rPr>
          <w:rFonts w:ascii="Arial" w:hAnsi="Arial" w:cs="Arial"/>
          <w:b/>
          <w:bCs/>
          <w:sz w:val="22"/>
          <w:szCs w:val="22"/>
        </w:rPr>
        <w:t>6.6</w:t>
      </w:r>
      <w:r w:rsidRPr="00F254B8">
        <w:rPr>
          <w:rFonts w:ascii="Arial" w:hAnsi="Arial" w:cs="Arial"/>
          <w:b/>
          <w:bCs/>
          <w:sz w:val="22"/>
          <w:szCs w:val="22"/>
        </w:rPr>
        <w:tab/>
        <w:t>Zvláštní opatření pro zneškodňování nepoužitého veterinárního léčivého přípravku nebo odpadu, který pochází z tohoto přípravku</w:t>
      </w:r>
    </w:p>
    <w:p w:rsidR="00927634" w:rsidRPr="00F254B8" w:rsidRDefault="00927634" w:rsidP="00927634">
      <w:pPr>
        <w:ind w:left="709"/>
        <w:jc w:val="both"/>
        <w:rPr>
          <w:rFonts w:ascii="Arial" w:hAnsi="Arial" w:cs="Arial"/>
          <w:sz w:val="22"/>
          <w:szCs w:val="22"/>
        </w:rPr>
      </w:pPr>
      <w:r w:rsidRPr="00F254B8">
        <w:rPr>
          <w:rFonts w:ascii="Arial" w:hAnsi="Arial" w:cs="Arial"/>
          <w:sz w:val="22"/>
          <w:szCs w:val="22"/>
        </w:rPr>
        <w:t>Všechen nepoužitý veterinární léčivý přípravek nebo odpad, který pochází z tohoto přípravku, musí být likvidován podle místních právních předpisů.</w:t>
      </w:r>
    </w:p>
    <w:p w:rsidR="00927634" w:rsidRPr="00F254B8" w:rsidRDefault="00927634" w:rsidP="00927634">
      <w:pPr>
        <w:rPr>
          <w:rFonts w:ascii="Arial" w:hAnsi="Arial" w:cs="Arial"/>
          <w:b/>
          <w:bCs/>
          <w:sz w:val="22"/>
          <w:szCs w:val="22"/>
        </w:rPr>
      </w:pPr>
    </w:p>
    <w:p w:rsidR="00927634" w:rsidRPr="00F254B8" w:rsidRDefault="00927634" w:rsidP="00927634">
      <w:pPr>
        <w:keepNext/>
        <w:ind w:left="709" w:hanging="709"/>
        <w:rPr>
          <w:rFonts w:ascii="Arial" w:hAnsi="Arial" w:cs="Arial"/>
          <w:b/>
          <w:bCs/>
          <w:sz w:val="22"/>
          <w:szCs w:val="22"/>
        </w:rPr>
      </w:pPr>
      <w:r w:rsidRPr="00F254B8">
        <w:rPr>
          <w:rFonts w:ascii="Arial" w:hAnsi="Arial" w:cs="Arial"/>
          <w:b/>
          <w:bCs/>
          <w:sz w:val="22"/>
          <w:szCs w:val="22"/>
        </w:rPr>
        <w:t>7.</w:t>
      </w:r>
      <w:r w:rsidRPr="00F254B8">
        <w:rPr>
          <w:rFonts w:ascii="Arial" w:hAnsi="Arial" w:cs="Arial"/>
          <w:b/>
          <w:bCs/>
          <w:sz w:val="22"/>
          <w:szCs w:val="22"/>
        </w:rPr>
        <w:tab/>
        <w:t>DRŽITEL ROZHODNUTÍ O REGISTRACI</w:t>
      </w:r>
    </w:p>
    <w:p w:rsidR="00927634" w:rsidRPr="00F254B8" w:rsidRDefault="00927634" w:rsidP="00927634">
      <w:pPr>
        <w:ind w:firstLine="709"/>
        <w:rPr>
          <w:rFonts w:ascii="Arial" w:hAnsi="Arial" w:cs="Arial"/>
          <w:sz w:val="22"/>
          <w:szCs w:val="22"/>
        </w:rPr>
      </w:pPr>
      <w:r w:rsidRPr="00F254B8">
        <w:rPr>
          <w:rFonts w:ascii="Arial" w:hAnsi="Arial" w:cs="Arial"/>
          <w:sz w:val="22"/>
          <w:szCs w:val="22"/>
        </w:rPr>
        <w:t>Tekro, spol. s r.o.</w:t>
      </w:r>
    </w:p>
    <w:p w:rsidR="00927634" w:rsidRPr="00F254B8" w:rsidRDefault="00927634" w:rsidP="00927634">
      <w:pPr>
        <w:ind w:firstLine="709"/>
        <w:rPr>
          <w:rFonts w:ascii="Arial" w:hAnsi="Arial" w:cs="Arial"/>
          <w:sz w:val="22"/>
          <w:szCs w:val="22"/>
        </w:rPr>
      </w:pPr>
      <w:r w:rsidRPr="00F254B8">
        <w:rPr>
          <w:rFonts w:ascii="Arial" w:hAnsi="Arial" w:cs="Arial"/>
          <w:sz w:val="22"/>
          <w:szCs w:val="22"/>
        </w:rPr>
        <w:t>Višňová 484/2</w:t>
      </w:r>
    </w:p>
    <w:p w:rsidR="00927634" w:rsidRPr="00F254B8" w:rsidRDefault="00927634" w:rsidP="00927634">
      <w:pPr>
        <w:ind w:firstLine="709"/>
        <w:rPr>
          <w:rFonts w:ascii="Arial" w:hAnsi="Arial" w:cs="Arial"/>
          <w:sz w:val="22"/>
          <w:szCs w:val="22"/>
        </w:rPr>
      </w:pPr>
      <w:r w:rsidRPr="00F254B8">
        <w:rPr>
          <w:rFonts w:ascii="Arial" w:hAnsi="Arial" w:cs="Arial"/>
          <w:sz w:val="22"/>
          <w:szCs w:val="22"/>
        </w:rPr>
        <w:t>140 00 Praha 4</w:t>
      </w:r>
    </w:p>
    <w:p w:rsidR="00927634" w:rsidRPr="00F254B8" w:rsidRDefault="00927634" w:rsidP="00927634">
      <w:pPr>
        <w:ind w:firstLine="709"/>
        <w:rPr>
          <w:rFonts w:ascii="Arial" w:hAnsi="Arial" w:cs="Arial"/>
          <w:sz w:val="22"/>
          <w:szCs w:val="22"/>
        </w:rPr>
      </w:pPr>
      <w:r w:rsidRPr="00F254B8">
        <w:rPr>
          <w:rFonts w:ascii="Arial" w:hAnsi="Arial" w:cs="Arial"/>
          <w:sz w:val="22"/>
          <w:szCs w:val="22"/>
        </w:rPr>
        <w:t>Tel.: +420 585 004 366</w:t>
      </w:r>
    </w:p>
    <w:p w:rsidR="00927634" w:rsidRPr="00F254B8" w:rsidRDefault="00927634" w:rsidP="00927634">
      <w:pPr>
        <w:ind w:firstLine="709"/>
        <w:rPr>
          <w:rFonts w:ascii="Arial" w:hAnsi="Arial" w:cs="Arial"/>
          <w:sz w:val="22"/>
          <w:szCs w:val="22"/>
        </w:rPr>
      </w:pPr>
      <w:r w:rsidRPr="00F254B8">
        <w:rPr>
          <w:rFonts w:ascii="Arial" w:hAnsi="Arial" w:cs="Arial"/>
          <w:sz w:val="22"/>
          <w:szCs w:val="22"/>
        </w:rPr>
        <w:t>Fax.: +420 585 004 303</w:t>
      </w:r>
    </w:p>
    <w:p w:rsidR="00927634" w:rsidRPr="00F254B8" w:rsidRDefault="00927634" w:rsidP="00927634">
      <w:pPr>
        <w:ind w:firstLine="709"/>
        <w:rPr>
          <w:rFonts w:ascii="Arial" w:hAnsi="Arial" w:cs="Arial"/>
          <w:sz w:val="22"/>
          <w:szCs w:val="22"/>
        </w:rPr>
      </w:pPr>
      <w:r w:rsidRPr="00F254B8">
        <w:rPr>
          <w:rFonts w:ascii="Arial" w:hAnsi="Arial" w:cs="Arial"/>
          <w:sz w:val="22"/>
          <w:szCs w:val="22"/>
        </w:rPr>
        <w:t>e-mail: leciva@tekro.cz</w:t>
      </w:r>
    </w:p>
    <w:p w:rsidR="00927634" w:rsidRPr="00F254B8" w:rsidRDefault="00927634" w:rsidP="00927634">
      <w:pPr>
        <w:ind w:left="709"/>
        <w:rPr>
          <w:rFonts w:ascii="Arial" w:hAnsi="Arial" w:cs="Arial"/>
          <w:b/>
          <w:bCs/>
          <w:sz w:val="22"/>
          <w:szCs w:val="22"/>
        </w:rPr>
      </w:pPr>
    </w:p>
    <w:p w:rsidR="00927634" w:rsidRPr="00F254B8" w:rsidRDefault="00927634" w:rsidP="00927634">
      <w:pPr>
        <w:keepNext/>
        <w:numPr>
          <w:ilvl w:val="0"/>
          <w:numId w:val="41"/>
        </w:numPr>
        <w:ind w:left="709" w:hanging="709"/>
        <w:rPr>
          <w:rFonts w:ascii="Arial" w:hAnsi="Arial" w:cs="Arial"/>
          <w:b/>
          <w:bCs/>
          <w:sz w:val="22"/>
          <w:szCs w:val="22"/>
        </w:rPr>
      </w:pPr>
      <w:r w:rsidRPr="00F254B8">
        <w:rPr>
          <w:rFonts w:ascii="Arial" w:hAnsi="Arial" w:cs="Arial"/>
          <w:b/>
          <w:bCs/>
          <w:sz w:val="22"/>
          <w:szCs w:val="22"/>
        </w:rPr>
        <w:t>REGISTRAČNÍ ČÍSLO(A)</w:t>
      </w:r>
    </w:p>
    <w:p w:rsidR="00927634" w:rsidRPr="00F254B8" w:rsidRDefault="00927634" w:rsidP="00927634">
      <w:pPr>
        <w:ind w:left="720"/>
        <w:rPr>
          <w:rFonts w:ascii="Arial" w:hAnsi="Arial" w:cs="Arial"/>
          <w:bCs/>
          <w:sz w:val="22"/>
          <w:szCs w:val="22"/>
        </w:rPr>
      </w:pPr>
      <w:r w:rsidRPr="00F254B8">
        <w:rPr>
          <w:rFonts w:ascii="Arial" w:hAnsi="Arial" w:cs="Arial"/>
          <w:bCs/>
          <w:sz w:val="22"/>
          <w:szCs w:val="22"/>
        </w:rPr>
        <w:t>96/046/21-C</w:t>
      </w:r>
    </w:p>
    <w:p w:rsidR="00927634" w:rsidRPr="00F254B8" w:rsidRDefault="00927634" w:rsidP="00927634">
      <w:pPr>
        <w:ind w:left="720"/>
        <w:rPr>
          <w:rFonts w:ascii="Arial" w:hAnsi="Arial" w:cs="Arial"/>
          <w:b/>
          <w:bCs/>
          <w:sz w:val="22"/>
          <w:szCs w:val="22"/>
        </w:rPr>
      </w:pPr>
    </w:p>
    <w:p w:rsidR="00927634" w:rsidRPr="00F254B8" w:rsidRDefault="00927634" w:rsidP="00927634">
      <w:pPr>
        <w:keepNext/>
        <w:numPr>
          <w:ilvl w:val="0"/>
          <w:numId w:val="41"/>
        </w:numPr>
        <w:ind w:left="709" w:hanging="709"/>
        <w:rPr>
          <w:rFonts w:ascii="Arial" w:hAnsi="Arial" w:cs="Arial"/>
          <w:b/>
          <w:bCs/>
          <w:sz w:val="22"/>
          <w:szCs w:val="22"/>
        </w:rPr>
      </w:pPr>
      <w:r w:rsidRPr="00F254B8">
        <w:rPr>
          <w:rFonts w:ascii="Arial" w:hAnsi="Arial" w:cs="Arial"/>
          <w:b/>
          <w:bCs/>
          <w:sz w:val="22"/>
          <w:szCs w:val="22"/>
        </w:rPr>
        <w:t>DATUM REGISTRACE / PRODLOUŽENÍ REGISTRACE</w:t>
      </w:r>
    </w:p>
    <w:p w:rsidR="00927634" w:rsidRPr="00F254B8" w:rsidRDefault="00927634" w:rsidP="00927634">
      <w:pPr>
        <w:ind w:left="709"/>
        <w:rPr>
          <w:rFonts w:ascii="Arial" w:hAnsi="Arial" w:cs="Arial"/>
          <w:bCs/>
          <w:sz w:val="22"/>
          <w:szCs w:val="22"/>
        </w:rPr>
      </w:pPr>
      <w:r w:rsidRPr="00F254B8">
        <w:rPr>
          <w:rFonts w:ascii="Arial" w:hAnsi="Arial" w:cs="Arial"/>
          <w:bCs/>
          <w:sz w:val="22"/>
          <w:szCs w:val="22"/>
        </w:rPr>
        <w:t>21. 10. 2021</w:t>
      </w:r>
    </w:p>
    <w:p w:rsidR="00927634" w:rsidRPr="00F254B8" w:rsidRDefault="00927634" w:rsidP="00927634">
      <w:pPr>
        <w:ind w:left="709"/>
        <w:rPr>
          <w:rFonts w:ascii="Arial" w:hAnsi="Arial" w:cs="Arial"/>
          <w:b/>
          <w:bCs/>
          <w:sz w:val="22"/>
          <w:szCs w:val="22"/>
        </w:rPr>
      </w:pPr>
    </w:p>
    <w:p w:rsidR="00927634" w:rsidRPr="00F254B8" w:rsidRDefault="00927634" w:rsidP="00927634">
      <w:pPr>
        <w:keepNext/>
        <w:numPr>
          <w:ilvl w:val="0"/>
          <w:numId w:val="41"/>
        </w:numPr>
        <w:ind w:left="709" w:hanging="709"/>
        <w:rPr>
          <w:rFonts w:ascii="Arial" w:hAnsi="Arial" w:cs="Arial"/>
          <w:b/>
          <w:bCs/>
          <w:sz w:val="22"/>
          <w:szCs w:val="22"/>
        </w:rPr>
      </w:pPr>
      <w:r w:rsidRPr="00F254B8">
        <w:rPr>
          <w:rFonts w:ascii="Arial" w:hAnsi="Arial" w:cs="Arial"/>
          <w:b/>
          <w:bCs/>
          <w:sz w:val="22"/>
          <w:szCs w:val="22"/>
        </w:rPr>
        <w:t>DATUM REVIZE TEXTU</w:t>
      </w:r>
    </w:p>
    <w:p w:rsidR="00927634" w:rsidRPr="00F254B8" w:rsidRDefault="0044169A" w:rsidP="00927634">
      <w:pPr>
        <w:ind w:left="709"/>
        <w:rPr>
          <w:rFonts w:ascii="Arial" w:hAnsi="Arial" w:cs="Arial"/>
          <w:sz w:val="22"/>
          <w:szCs w:val="22"/>
        </w:rPr>
      </w:pPr>
      <w:r w:rsidRPr="00F254B8">
        <w:rPr>
          <w:rFonts w:ascii="Arial" w:hAnsi="Arial" w:cs="Arial"/>
          <w:sz w:val="22"/>
          <w:szCs w:val="22"/>
        </w:rPr>
        <w:t>Červen 2023</w:t>
      </w:r>
    </w:p>
    <w:p w:rsidR="00927634" w:rsidRPr="00F254B8" w:rsidRDefault="00927634" w:rsidP="00927634">
      <w:pPr>
        <w:ind w:left="-357"/>
        <w:rPr>
          <w:rFonts w:ascii="Arial" w:hAnsi="Arial" w:cs="Arial"/>
          <w:b/>
          <w:sz w:val="22"/>
          <w:szCs w:val="22"/>
        </w:rPr>
      </w:pPr>
    </w:p>
    <w:p w:rsidR="00927634" w:rsidRPr="00F254B8" w:rsidRDefault="00927634" w:rsidP="00927634">
      <w:pPr>
        <w:keepNext/>
        <w:ind w:left="851" w:hanging="142"/>
        <w:rPr>
          <w:rFonts w:ascii="Arial" w:hAnsi="Arial" w:cs="Arial"/>
          <w:b/>
          <w:sz w:val="22"/>
          <w:szCs w:val="22"/>
        </w:rPr>
      </w:pPr>
      <w:r w:rsidRPr="00F254B8">
        <w:rPr>
          <w:rFonts w:ascii="Arial" w:hAnsi="Arial" w:cs="Arial"/>
          <w:b/>
          <w:sz w:val="22"/>
          <w:szCs w:val="22"/>
        </w:rPr>
        <w:t>DALŠÍ INFORMACE</w:t>
      </w:r>
    </w:p>
    <w:p w:rsidR="00927634" w:rsidRPr="00F254B8" w:rsidRDefault="00927634" w:rsidP="00927634">
      <w:pPr>
        <w:ind w:left="851" w:hanging="142"/>
        <w:rPr>
          <w:rFonts w:ascii="Arial" w:hAnsi="Arial" w:cs="Arial"/>
          <w:sz w:val="22"/>
          <w:szCs w:val="22"/>
        </w:rPr>
      </w:pPr>
      <w:r w:rsidRPr="00F254B8">
        <w:rPr>
          <w:rFonts w:ascii="Arial" w:hAnsi="Arial" w:cs="Arial"/>
          <w:sz w:val="22"/>
          <w:szCs w:val="22"/>
        </w:rPr>
        <w:t>Veterinární léčivý přípravek je vydáván pouze na předpis.</w:t>
      </w:r>
    </w:p>
    <w:bookmarkEnd w:id="0"/>
    <w:p w:rsidR="00AB7C92" w:rsidRPr="00F254B8" w:rsidRDefault="00AB7C92" w:rsidP="00927634"/>
    <w:sectPr w:rsidR="00AB7C92" w:rsidRPr="00F254B8" w:rsidSect="00F254B8">
      <w:footerReference w:type="default" r:id="rId7"/>
      <w:footerReference w:type="first" r:id="rId8"/>
      <w:pgSz w:w="11918" w:h="16840" w:code="9"/>
      <w:pgMar w:top="1417" w:right="1417" w:bottom="1417" w:left="1417" w:header="737"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F02" w:rsidRDefault="00BC1F02">
      <w:r>
        <w:separator/>
      </w:r>
    </w:p>
  </w:endnote>
  <w:endnote w:type="continuationSeparator" w:id="0">
    <w:p w:rsidR="00BC1F02" w:rsidRDefault="00BC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DC" w:rsidRDefault="00D33EDC">
    <w:pPr>
      <w:pStyle w:val="Zpat"/>
      <w:tabs>
        <w:tab w:val="clear" w:pos="8930"/>
        <w:tab w:val="right" w:pos="8931"/>
      </w:tabs>
      <w:rPr>
        <w:rFonts w:ascii="Times New Roman" w:hAnsi="Times New Roman"/>
        <w:lang w:val="el-GR"/>
      </w:rPr>
    </w:pPr>
  </w:p>
  <w:p w:rsidR="00D33EDC" w:rsidRDefault="008C1E11">
    <w:pPr>
      <w:pStyle w:val="Zpat"/>
      <w:tabs>
        <w:tab w:val="clear" w:pos="8930"/>
        <w:tab w:val="right" w:pos="8931"/>
      </w:tabs>
      <w:jc w:val="center"/>
      <w:rPr>
        <w:rFonts w:ascii="Times New Roman" w:hAnsi="Times New Roman"/>
        <w:lang w:val="el-GR"/>
      </w:rPr>
    </w:pPr>
    <w:r>
      <w:fldChar w:fldCharType="begin"/>
    </w:r>
    <w:r w:rsidR="00482E69">
      <w:instrText xml:space="preserve"> PAGE  \* MERGEFORMAT </w:instrText>
    </w:r>
    <w:r>
      <w:fldChar w:fldCharType="separate"/>
    </w:r>
    <w:r w:rsidR="00F254B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DC" w:rsidRDefault="00D33EDC">
    <w:pPr>
      <w:pStyle w:val="Zpat"/>
      <w:tabs>
        <w:tab w:val="clear" w:pos="8930"/>
        <w:tab w:val="right" w:pos="8931"/>
      </w:tabs>
    </w:pPr>
  </w:p>
  <w:p w:rsidR="00D33EDC" w:rsidRDefault="008C1E11">
    <w:pPr>
      <w:pStyle w:val="Zpat"/>
      <w:tabs>
        <w:tab w:val="clear" w:pos="8930"/>
        <w:tab w:val="right" w:pos="8931"/>
      </w:tabs>
      <w:jc w:val="center"/>
      <w:rPr>
        <w:rFonts w:ascii="Times New Roman" w:hAnsi="Times New Roman"/>
        <w:lang w:val="el-GR"/>
      </w:rPr>
    </w:pPr>
    <w:r>
      <w:fldChar w:fldCharType="begin"/>
    </w:r>
    <w:r w:rsidR="00482E69">
      <w:instrText xml:space="preserve"> PAGE  \* MERGEFORMAT </w:instrText>
    </w:r>
    <w:r>
      <w:fldChar w:fldCharType="separate"/>
    </w:r>
    <w:r w:rsidR="00F254B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F02" w:rsidRDefault="00BC1F02">
      <w:r>
        <w:separator/>
      </w:r>
    </w:p>
  </w:footnote>
  <w:footnote w:type="continuationSeparator" w:id="0">
    <w:p w:rsidR="00BC1F02" w:rsidRDefault="00BC1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6" w15:restartNumberingAfterBreak="0">
    <w:nsid w:val="1BD56123"/>
    <w:multiLevelType w:val="hybridMultilevel"/>
    <w:tmpl w:val="23BAF06C"/>
    <w:lvl w:ilvl="0" w:tplc="12E8966C">
      <w:start w:val="1"/>
      <w:numFmt w:val="bullet"/>
      <w:lvlText w:val="-"/>
      <w:lvlJc w:val="left"/>
      <w:pPr>
        <w:ind w:left="1069" w:hanging="360"/>
      </w:pPr>
      <w:rPr>
        <w:rFonts w:ascii="Arial" w:eastAsia="Times New Roman"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996ABB"/>
    <w:multiLevelType w:val="hybridMultilevel"/>
    <w:tmpl w:val="E2CE87EA"/>
    <w:lvl w:ilvl="0" w:tplc="0405000F">
      <w:start w:val="8"/>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ADD5DE6"/>
    <w:multiLevelType w:val="hybridMultilevel"/>
    <w:tmpl w:val="8900385C"/>
    <w:lvl w:ilvl="0" w:tplc="B2C48E66">
      <w:start w:val="1"/>
      <w:numFmt w:val="decimal"/>
      <w:lvlText w:val="%1."/>
      <w:lvlJc w:val="left"/>
      <w:pPr>
        <w:tabs>
          <w:tab w:val="num" w:pos="720"/>
        </w:tabs>
        <w:ind w:left="720" w:hanging="360"/>
      </w:pPr>
    </w:lvl>
    <w:lvl w:ilvl="1" w:tplc="4010FC36">
      <w:numFmt w:val="none"/>
      <w:lvlText w:val=""/>
      <w:lvlJc w:val="left"/>
      <w:pPr>
        <w:tabs>
          <w:tab w:val="num" w:pos="360"/>
        </w:tabs>
        <w:ind w:left="0" w:firstLine="0"/>
      </w:pPr>
    </w:lvl>
    <w:lvl w:ilvl="2" w:tplc="2DB86B7A">
      <w:numFmt w:val="none"/>
      <w:lvlText w:val=""/>
      <w:lvlJc w:val="left"/>
      <w:pPr>
        <w:tabs>
          <w:tab w:val="num" w:pos="360"/>
        </w:tabs>
        <w:ind w:left="0" w:firstLine="0"/>
      </w:pPr>
    </w:lvl>
    <w:lvl w:ilvl="3" w:tplc="B824E690">
      <w:numFmt w:val="none"/>
      <w:lvlText w:val=""/>
      <w:lvlJc w:val="left"/>
      <w:pPr>
        <w:tabs>
          <w:tab w:val="num" w:pos="360"/>
        </w:tabs>
        <w:ind w:left="0" w:firstLine="0"/>
      </w:pPr>
    </w:lvl>
    <w:lvl w:ilvl="4" w:tplc="C2A03060">
      <w:numFmt w:val="none"/>
      <w:lvlText w:val=""/>
      <w:lvlJc w:val="left"/>
      <w:pPr>
        <w:tabs>
          <w:tab w:val="num" w:pos="360"/>
        </w:tabs>
        <w:ind w:left="0" w:firstLine="0"/>
      </w:pPr>
    </w:lvl>
    <w:lvl w:ilvl="5" w:tplc="5A9472D0">
      <w:numFmt w:val="none"/>
      <w:lvlText w:val=""/>
      <w:lvlJc w:val="left"/>
      <w:pPr>
        <w:tabs>
          <w:tab w:val="num" w:pos="360"/>
        </w:tabs>
        <w:ind w:left="0" w:firstLine="0"/>
      </w:pPr>
    </w:lvl>
    <w:lvl w:ilvl="6" w:tplc="FBACA798">
      <w:numFmt w:val="none"/>
      <w:lvlText w:val=""/>
      <w:lvlJc w:val="left"/>
      <w:pPr>
        <w:tabs>
          <w:tab w:val="num" w:pos="360"/>
        </w:tabs>
        <w:ind w:left="0" w:firstLine="0"/>
      </w:pPr>
    </w:lvl>
    <w:lvl w:ilvl="7" w:tplc="1818A398">
      <w:numFmt w:val="none"/>
      <w:lvlText w:val=""/>
      <w:lvlJc w:val="left"/>
      <w:pPr>
        <w:tabs>
          <w:tab w:val="num" w:pos="360"/>
        </w:tabs>
        <w:ind w:left="0" w:firstLine="0"/>
      </w:pPr>
    </w:lvl>
    <w:lvl w:ilvl="8" w:tplc="663A3094">
      <w:numFmt w:val="none"/>
      <w:lvlText w:val=""/>
      <w:lvlJc w:val="left"/>
      <w:pPr>
        <w:tabs>
          <w:tab w:val="num" w:pos="360"/>
        </w:tabs>
        <w:ind w:left="0" w:firstLine="0"/>
      </w:p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7"/>
  </w:num>
  <w:num w:numId="5">
    <w:abstractNumId w:val="36"/>
  </w:num>
  <w:num w:numId="6">
    <w:abstractNumId w:val="12"/>
  </w:num>
  <w:num w:numId="7">
    <w:abstractNumId w:val="22"/>
  </w:num>
  <w:num w:numId="8">
    <w:abstractNumId w:val="21"/>
  </w:num>
  <w:num w:numId="9">
    <w:abstractNumId w:val="7"/>
  </w:num>
  <w:num w:numId="10">
    <w:abstractNumId w:val="33"/>
  </w:num>
  <w:num w:numId="11">
    <w:abstractNumId w:val="35"/>
  </w:num>
  <w:num w:numId="12">
    <w:abstractNumId w:val="17"/>
  </w:num>
  <w:num w:numId="13">
    <w:abstractNumId w:val="14"/>
  </w:num>
  <w:num w:numId="14">
    <w:abstractNumId w:val="2"/>
  </w:num>
  <w:num w:numId="15">
    <w:abstractNumId w:val="32"/>
  </w:num>
  <w:num w:numId="16">
    <w:abstractNumId w:val="19"/>
  </w:num>
  <w:num w:numId="17">
    <w:abstractNumId w:val="38"/>
  </w:num>
  <w:num w:numId="18">
    <w:abstractNumId w:val="8"/>
  </w:num>
  <w:num w:numId="19">
    <w:abstractNumId w:val="1"/>
  </w:num>
  <w:num w:numId="20">
    <w:abstractNumId w:val="18"/>
  </w:num>
  <w:num w:numId="21">
    <w:abstractNumId w:val="3"/>
  </w:num>
  <w:num w:numId="22">
    <w:abstractNumId w:val="5"/>
  </w:num>
  <w:num w:numId="23">
    <w:abstractNumId w:val="25"/>
  </w:num>
  <w:num w:numId="24">
    <w:abstractNumId w:val="11"/>
  </w:num>
  <w:num w:numId="25">
    <w:abstractNumId w:val="31"/>
  </w:num>
  <w:num w:numId="26">
    <w:abstractNumId w:val="24"/>
  </w:num>
  <w:num w:numId="27">
    <w:abstractNumId w:val="13"/>
  </w:num>
  <w:num w:numId="28">
    <w:abstractNumId w:val="10"/>
  </w:num>
  <w:num w:numId="29">
    <w:abstractNumId w:val="20"/>
  </w:num>
  <w:num w:numId="30">
    <w:abstractNumId w:val="23"/>
  </w:num>
  <w:num w:numId="31">
    <w:abstractNumId w:val="15"/>
  </w:num>
  <w:num w:numId="32">
    <w:abstractNumId w:val="9"/>
  </w:num>
  <w:num w:numId="33">
    <w:abstractNumId w:val="29"/>
  </w:num>
  <w:num w:numId="34">
    <w:abstractNumId w:val="30"/>
  </w:num>
  <w:num w:numId="35">
    <w:abstractNumId w:val="28"/>
  </w:num>
  <w:num w:numId="36">
    <w:abstractNumId w:val="16"/>
  </w:num>
  <w:num w:numId="37">
    <w:abstractNumId w:val="4"/>
  </w:num>
  <w:num w:numId="38">
    <w:abstractNumId w:val="39"/>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94"/>
    <w:rsid w:val="00005294"/>
    <w:rsid w:val="0044169A"/>
    <w:rsid w:val="00482E69"/>
    <w:rsid w:val="006559E3"/>
    <w:rsid w:val="008C1E11"/>
    <w:rsid w:val="008C71AD"/>
    <w:rsid w:val="00927634"/>
    <w:rsid w:val="00AA7DE7"/>
    <w:rsid w:val="00AB7C92"/>
    <w:rsid w:val="00BC1F02"/>
    <w:rsid w:val="00D33EDC"/>
    <w:rsid w:val="00D53446"/>
    <w:rsid w:val="00DA2F9A"/>
    <w:rsid w:val="00E73AE5"/>
    <w:rsid w:val="00F254B8"/>
    <w:rsid w:val="00F67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7F8E9-8FB1-41E8-A656-9FB37700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482E69"/>
    <w:rPr>
      <w:sz w:val="24"/>
      <w:szCs w:val="24"/>
    </w:rPr>
  </w:style>
  <w:style w:type="paragraph" w:styleId="Nadpis1">
    <w:name w:val="heading 1"/>
    <w:basedOn w:val="Normln"/>
    <w:next w:val="Normln"/>
    <w:qFormat/>
    <w:rsid w:val="00482E6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482E69"/>
    <w:pPr>
      <w:keepNext/>
      <w:spacing w:before="240" w:after="60"/>
      <w:ind w:left="567" w:hanging="567"/>
      <w:outlineLvl w:val="1"/>
    </w:pPr>
    <w:rPr>
      <w:rFonts w:ascii="Helvetica" w:hAnsi="Helvetica"/>
      <w:b/>
      <w:i/>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odr">
    <w:name w:val="Modrý"/>
    <w:basedOn w:val="Normln"/>
    <w:rsid w:val="00482E69"/>
    <w:rPr>
      <w:rFonts w:ascii="Arial" w:hAnsi="Arial"/>
      <w:color w:val="0000FF"/>
      <w:sz w:val="20"/>
    </w:rPr>
  </w:style>
  <w:style w:type="character" w:customStyle="1" w:styleId="erven">
    <w:name w:val="červený"/>
    <w:rsid w:val="00482E69"/>
    <w:rPr>
      <w:rFonts w:ascii="Tahoma" w:hAnsi="Tahoma"/>
      <w:b/>
      <w:color w:val="FF0000"/>
    </w:rPr>
  </w:style>
  <w:style w:type="paragraph" w:customStyle="1" w:styleId="modr0">
    <w:name w:val="modrý"/>
    <w:basedOn w:val="Nadpis1"/>
    <w:rsid w:val="00482E69"/>
    <w:pPr>
      <w:spacing w:before="0" w:after="0"/>
      <w:jc w:val="both"/>
    </w:pPr>
    <w:rPr>
      <w:rFonts w:cs="Times New Roman"/>
      <w:bCs w:val="0"/>
      <w:caps/>
      <w:color w:val="3366FF"/>
      <w:kern w:val="0"/>
      <w:sz w:val="22"/>
      <w:szCs w:val="20"/>
      <w14:shadow w14:blurRad="50800" w14:dist="38100" w14:dir="2700000" w14:sx="100000" w14:sy="100000" w14:kx="0" w14:ky="0" w14:algn="tl">
        <w14:srgbClr w14:val="000000">
          <w14:alpha w14:val="60000"/>
        </w14:srgbClr>
      </w14:shadow>
    </w:rPr>
  </w:style>
  <w:style w:type="paragraph" w:styleId="Zkladntext">
    <w:name w:val="Body Text"/>
    <w:basedOn w:val="Normln"/>
    <w:rsid w:val="00482E69"/>
    <w:pPr>
      <w:spacing w:after="120"/>
    </w:pPr>
  </w:style>
  <w:style w:type="paragraph" w:customStyle="1" w:styleId="kurz">
    <w:name w:val="kurz"/>
    <w:basedOn w:val="Normln"/>
    <w:rsid w:val="00482E69"/>
    <w:pPr>
      <w:jc w:val="both"/>
    </w:pPr>
    <w:rPr>
      <w:b/>
      <w:bCs/>
      <w:color w:val="00FF00"/>
      <w:u w:val="single"/>
    </w:rPr>
  </w:style>
  <w:style w:type="paragraph" w:customStyle="1" w:styleId="Bullet">
    <w:name w:val="Bullet"/>
    <w:basedOn w:val="Normln"/>
    <w:rsid w:val="00482E69"/>
    <w:pPr>
      <w:numPr>
        <w:numId w:val="2"/>
      </w:numPr>
    </w:pPr>
    <w:rPr>
      <w:sz w:val="22"/>
      <w:szCs w:val="20"/>
      <w:lang w:eastAsia="en-US"/>
    </w:rPr>
  </w:style>
  <w:style w:type="paragraph" w:customStyle="1" w:styleId="AHeader1">
    <w:name w:val="AHeader 1"/>
    <w:basedOn w:val="Normln"/>
    <w:rsid w:val="00482E69"/>
    <w:pPr>
      <w:numPr>
        <w:numId w:val="32"/>
      </w:numPr>
      <w:spacing w:after="120"/>
    </w:pPr>
    <w:rPr>
      <w:rFonts w:ascii="Arial" w:hAnsi="Arial" w:cs="Arial"/>
      <w:b/>
      <w:bCs/>
      <w:szCs w:val="20"/>
      <w:lang w:val="en-GB" w:eastAsia="en-US"/>
    </w:rPr>
  </w:style>
  <w:style w:type="paragraph" w:customStyle="1" w:styleId="AHeader2">
    <w:name w:val="AHeader 2"/>
    <w:basedOn w:val="AHeader1"/>
    <w:rsid w:val="00482E69"/>
    <w:pPr>
      <w:numPr>
        <w:ilvl w:val="1"/>
      </w:numPr>
      <w:tabs>
        <w:tab w:val="clear" w:pos="709"/>
        <w:tab w:val="num" w:pos="360"/>
        <w:tab w:val="num" w:pos="1440"/>
      </w:tabs>
      <w:ind w:left="1440" w:hanging="360"/>
    </w:pPr>
    <w:rPr>
      <w:sz w:val="22"/>
    </w:rPr>
  </w:style>
  <w:style w:type="paragraph" w:customStyle="1" w:styleId="AHeader3">
    <w:name w:val="AHeader 3"/>
    <w:basedOn w:val="AHeader2"/>
    <w:rsid w:val="00482E69"/>
    <w:pPr>
      <w:numPr>
        <w:ilvl w:val="2"/>
      </w:numPr>
      <w:tabs>
        <w:tab w:val="clear" w:pos="1276"/>
        <w:tab w:val="num" w:pos="360"/>
        <w:tab w:val="num" w:pos="2160"/>
      </w:tabs>
      <w:ind w:left="2160" w:hanging="360"/>
    </w:pPr>
  </w:style>
  <w:style w:type="paragraph" w:customStyle="1" w:styleId="AHeader2abc">
    <w:name w:val="AHeader 2 abc"/>
    <w:basedOn w:val="AHeader3"/>
    <w:rsid w:val="00482E69"/>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482E69"/>
    <w:pPr>
      <w:numPr>
        <w:ilvl w:val="4"/>
      </w:numPr>
      <w:tabs>
        <w:tab w:val="clear" w:pos="1701"/>
        <w:tab w:val="num" w:pos="360"/>
        <w:tab w:val="num" w:pos="1440"/>
        <w:tab w:val="num" w:pos="3600"/>
      </w:tabs>
      <w:ind w:left="3600" w:hanging="360"/>
    </w:pPr>
  </w:style>
  <w:style w:type="paragraph" w:styleId="Zkladntextodsazen2">
    <w:name w:val="Body Text Indent 2"/>
    <w:basedOn w:val="Normln"/>
    <w:rsid w:val="00482E69"/>
    <w:pPr>
      <w:ind w:left="567" w:hanging="567"/>
      <w:jc w:val="both"/>
    </w:pPr>
    <w:rPr>
      <w:b/>
      <w:sz w:val="22"/>
      <w:szCs w:val="20"/>
      <w:lang w:eastAsia="en-US"/>
    </w:rPr>
  </w:style>
  <w:style w:type="paragraph" w:styleId="Zpat">
    <w:name w:val="footer"/>
    <w:basedOn w:val="Normln"/>
    <w:rsid w:val="00482E69"/>
    <w:pPr>
      <w:tabs>
        <w:tab w:val="center" w:pos="4536"/>
        <w:tab w:val="center" w:pos="8930"/>
      </w:tabs>
      <w:ind w:left="567" w:hanging="567"/>
    </w:pPr>
    <w:rPr>
      <w:rFonts w:ascii="Helvetica" w:hAnsi="Helvetica"/>
      <w:sz w:val="16"/>
      <w:szCs w:val="20"/>
      <w:lang w:eastAsia="en-US"/>
    </w:rPr>
  </w:style>
  <w:style w:type="paragraph" w:styleId="Zkladntextodsazen3">
    <w:name w:val="Body Text Indent 3"/>
    <w:basedOn w:val="Normln"/>
    <w:link w:val="Zkladntextodsazen3Char"/>
    <w:rsid w:val="00927634"/>
    <w:pPr>
      <w:spacing w:after="120"/>
      <w:ind w:left="283"/>
    </w:pPr>
    <w:rPr>
      <w:sz w:val="16"/>
      <w:szCs w:val="16"/>
    </w:rPr>
  </w:style>
  <w:style w:type="character" w:customStyle="1" w:styleId="Zkladntextodsazen3Char">
    <w:name w:val="Základní text odsazený 3 Char"/>
    <w:link w:val="Zkladntextodsazen3"/>
    <w:rsid w:val="00927634"/>
    <w:rPr>
      <w:sz w:val="16"/>
      <w:szCs w:val="16"/>
    </w:rPr>
  </w:style>
  <w:style w:type="paragraph" w:customStyle="1" w:styleId="Default">
    <w:name w:val="Default"/>
    <w:rsid w:val="00927634"/>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44169A"/>
    <w:rPr>
      <w:rFonts w:ascii="Segoe UI" w:hAnsi="Segoe UI" w:cs="Segoe UI"/>
      <w:sz w:val="18"/>
      <w:szCs w:val="18"/>
    </w:rPr>
  </w:style>
  <w:style w:type="character" w:customStyle="1" w:styleId="TextbublinyChar">
    <w:name w:val="Text bubliny Char"/>
    <w:basedOn w:val="Standardnpsmoodstavce"/>
    <w:link w:val="Textbubliny"/>
    <w:rsid w:val="00441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2026</Words>
  <Characters>11960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Pokyn</vt:lpstr>
    </vt:vector>
  </TitlesOfParts>
  <Company>USKVBL</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dc:title>
  <dc:subject/>
  <dc:creator>formankova</dc:creator>
  <cp:keywords/>
  <dc:description/>
  <cp:lastModifiedBy>Nepejchalová Leona</cp:lastModifiedBy>
  <cp:revision>4</cp:revision>
  <cp:lastPrinted>2006-05-02T09:18:00Z</cp:lastPrinted>
  <dcterms:created xsi:type="dcterms:W3CDTF">2023-07-11T09:01:00Z</dcterms:created>
  <dcterms:modified xsi:type="dcterms:W3CDTF">2023-08-08T15:30:00Z</dcterms:modified>
</cp:coreProperties>
</file>