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967B4" w14:textId="77777777" w:rsidR="00CA60D7" w:rsidRPr="00571DEE" w:rsidRDefault="00CA60D7" w:rsidP="00571DEE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bookmarkStart w:id="0" w:name="_GoBack"/>
      <w:bookmarkEnd w:id="0"/>
    </w:p>
    <w:p w14:paraId="627C2068" w14:textId="77777777" w:rsidR="00CA60D7" w:rsidRPr="00571DEE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4EF42294" w14:textId="77777777" w:rsidR="00CA60D7" w:rsidRPr="00571DEE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06DF57B8" w14:textId="77777777" w:rsidR="00CA60D7" w:rsidRPr="00571DEE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4134DA0D" w14:textId="77777777" w:rsidR="00CA60D7" w:rsidRPr="00571DEE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239E0502" w14:textId="77777777" w:rsidR="00CA60D7" w:rsidRPr="00571DEE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0032E0DE" w14:textId="77777777" w:rsidR="00CA60D7" w:rsidRPr="00571DEE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3AE94E89" w14:textId="77777777" w:rsidR="00CA60D7" w:rsidRPr="00571DEE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2376A5DB" w14:textId="77777777" w:rsidR="00CA60D7" w:rsidRPr="00571DEE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19C57A62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47F4C171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13ADDC9A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0FF4BD8A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3B181673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2621FFEA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01636816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5D9CD0AF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63FEA85C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3B8DAE1C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455D3619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23F13354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774AD39C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0CA50D6C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3300A48E" w14:textId="77777777" w:rsidR="00CA60D7" w:rsidRPr="00EC107F" w:rsidRDefault="00571DEE" w:rsidP="00571DE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EC107F">
        <w:rPr>
          <w:b/>
          <w:szCs w:val="22"/>
        </w:rPr>
        <w:t>PŘÍLOHA I</w:t>
      </w:r>
    </w:p>
    <w:p w14:paraId="3AB59787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6382FBDE" w14:textId="77777777" w:rsidR="00CA60D7" w:rsidRPr="00EC107F" w:rsidRDefault="00571DEE" w:rsidP="00571DE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EC107F">
        <w:rPr>
          <w:b/>
          <w:szCs w:val="22"/>
        </w:rPr>
        <w:t>SOUHRN ÚDAJŮ O PŘÍPRAVKU</w:t>
      </w:r>
    </w:p>
    <w:p w14:paraId="725CEDD3" w14:textId="77777777" w:rsidR="00CA60D7" w:rsidRPr="00EC107F" w:rsidRDefault="00571DEE" w:rsidP="00571DEE">
      <w:pPr>
        <w:pStyle w:val="Style1"/>
      </w:pPr>
      <w:r w:rsidRPr="00EC107F">
        <w:br w:type="page"/>
      </w:r>
      <w:r w:rsidRPr="00EC107F">
        <w:lastRenderedPageBreak/>
        <w:t>1.</w:t>
      </w:r>
      <w:r w:rsidRPr="00EC107F">
        <w:tab/>
        <w:t>NÁZEV VETERINÁRNÍHO LÉČIVÉHO PŘÍPRAVKU</w:t>
      </w:r>
    </w:p>
    <w:p w14:paraId="721C9B74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4E84AF3F" w14:textId="507E1B89" w:rsidR="00CA60D7" w:rsidRPr="00EC107F" w:rsidRDefault="00571DEE" w:rsidP="00571DEE">
      <w:pPr>
        <w:spacing w:line="240" w:lineRule="auto"/>
        <w:rPr>
          <w:szCs w:val="22"/>
        </w:rPr>
      </w:pPr>
      <w:proofErr w:type="spellStart"/>
      <w:r w:rsidRPr="00EC107F">
        <w:rPr>
          <w:szCs w:val="22"/>
        </w:rPr>
        <w:t>Rilexine</w:t>
      </w:r>
      <w:proofErr w:type="spellEnd"/>
      <w:r w:rsidRPr="00EC107F">
        <w:rPr>
          <w:szCs w:val="22"/>
        </w:rPr>
        <w:t xml:space="preserve"> 200 </w:t>
      </w:r>
      <w:proofErr w:type="spellStart"/>
      <w:r w:rsidRPr="00EC107F">
        <w:rPr>
          <w:szCs w:val="22"/>
        </w:rPr>
        <w:t>intramamární</w:t>
      </w:r>
      <w:proofErr w:type="spellEnd"/>
      <w:r w:rsidRPr="00EC107F">
        <w:rPr>
          <w:szCs w:val="22"/>
        </w:rPr>
        <w:t xml:space="preserve"> suspenze</w:t>
      </w:r>
    </w:p>
    <w:p w14:paraId="5343D256" w14:textId="77777777" w:rsidR="00CA60D7" w:rsidRPr="00EC107F" w:rsidRDefault="00CA60D7" w:rsidP="00571DEE">
      <w:pPr>
        <w:spacing w:line="240" w:lineRule="auto"/>
        <w:jc w:val="both"/>
        <w:rPr>
          <w:b/>
          <w:szCs w:val="22"/>
        </w:rPr>
      </w:pPr>
    </w:p>
    <w:p w14:paraId="6BE90DE6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66C71688" w14:textId="77777777" w:rsidR="00CA60D7" w:rsidRPr="00EC107F" w:rsidRDefault="00571DEE" w:rsidP="00571DEE">
      <w:pPr>
        <w:pStyle w:val="Style1"/>
      </w:pPr>
      <w:r w:rsidRPr="00EC107F">
        <w:t>2.</w:t>
      </w:r>
      <w:r w:rsidRPr="00EC107F">
        <w:tab/>
        <w:t>KVALITATIVNÍ A KVANTITATIVNÍ SLOŽENÍ</w:t>
      </w:r>
    </w:p>
    <w:p w14:paraId="7EB8417C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7DB52954" w14:textId="10F342D2" w:rsidR="00CA60D7" w:rsidRPr="00EC107F" w:rsidRDefault="00856940" w:rsidP="00571DEE">
      <w:pPr>
        <w:spacing w:line="240" w:lineRule="auto"/>
        <w:jc w:val="both"/>
        <w:rPr>
          <w:szCs w:val="22"/>
        </w:rPr>
      </w:pPr>
      <w:r w:rsidRPr="00EC107F">
        <w:rPr>
          <w:szCs w:val="22"/>
        </w:rPr>
        <w:t>Každý</w:t>
      </w:r>
      <w:r w:rsidR="00571DEE" w:rsidRPr="00EC107F">
        <w:rPr>
          <w:szCs w:val="22"/>
        </w:rPr>
        <w:t xml:space="preserve"> aplikátor (9,4 g) suspenze obsahuje:</w:t>
      </w:r>
    </w:p>
    <w:p w14:paraId="29FF8250" w14:textId="77777777" w:rsidR="00CA60D7" w:rsidRPr="00EC107F" w:rsidRDefault="00CA60D7" w:rsidP="00571DEE">
      <w:pPr>
        <w:spacing w:line="240" w:lineRule="auto"/>
        <w:jc w:val="both"/>
        <w:rPr>
          <w:szCs w:val="22"/>
        </w:rPr>
      </w:pPr>
    </w:p>
    <w:p w14:paraId="4A370836" w14:textId="77777777" w:rsidR="00CA60D7" w:rsidRPr="00EC107F" w:rsidRDefault="00571DEE" w:rsidP="00571DEE">
      <w:pPr>
        <w:spacing w:line="240" w:lineRule="auto"/>
        <w:jc w:val="both"/>
        <w:rPr>
          <w:b/>
          <w:szCs w:val="22"/>
        </w:rPr>
      </w:pPr>
      <w:r w:rsidRPr="00EC107F">
        <w:rPr>
          <w:b/>
          <w:szCs w:val="22"/>
        </w:rPr>
        <w:t>Léčivá látka:</w:t>
      </w:r>
    </w:p>
    <w:p w14:paraId="3C42CE98" w14:textId="77777777" w:rsidR="00CA60D7" w:rsidRPr="00EC107F" w:rsidRDefault="00571DEE" w:rsidP="00571DEE">
      <w:pPr>
        <w:tabs>
          <w:tab w:val="left" w:pos="5040"/>
        </w:tabs>
        <w:spacing w:line="240" w:lineRule="auto"/>
        <w:jc w:val="both"/>
        <w:rPr>
          <w:szCs w:val="22"/>
        </w:rPr>
      </w:pPr>
      <w:proofErr w:type="spellStart"/>
      <w:r w:rsidRPr="00EC107F">
        <w:rPr>
          <w:szCs w:val="22"/>
        </w:rPr>
        <w:t>Cefalexinum</w:t>
      </w:r>
      <w:proofErr w:type="spellEnd"/>
      <w:r w:rsidRPr="00EC107F">
        <w:rPr>
          <w:szCs w:val="22"/>
        </w:rPr>
        <w:t xml:space="preserve"> (</w:t>
      </w:r>
      <w:proofErr w:type="spellStart"/>
      <w:r w:rsidRPr="00EC107F">
        <w:rPr>
          <w:szCs w:val="22"/>
        </w:rPr>
        <w:t>ut</w:t>
      </w:r>
      <w:proofErr w:type="spellEnd"/>
      <w:r w:rsidRPr="00EC107F">
        <w:rPr>
          <w:szCs w:val="22"/>
        </w:rPr>
        <w:t xml:space="preserve"> </w:t>
      </w:r>
      <w:proofErr w:type="spellStart"/>
      <w:r w:rsidRPr="00EC107F">
        <w:rPr>
          <w:szCs w:val="22"/>
        </w:rPr>
        <w:t>monohydricum</w:t>
      </w:r>
      <w:proofErr w:type="spellEnd"/>
      <w:r w:rsidRPr="00EC107F">
        <w:rPr>
          <w:szCs w:val="22"/>
        </w:rPr>
        <w:t xml:space="preserve">) </w:t>
      </w:r>
      <w:r w:rsidRPr="00EC107F">
        <w:rPr>
          <w:szCs w:val="22"/>
        </w:rPr>
        <w:tab/>
        <w:t>200 mg</w:t>
      </w:r>
    </w:p>
    <w:p w14:paraId="69FC61ED" w14:textId="77777777" w:rsidR="00CA60D7" w:rsidRPr="00EC107F" w:rsidRDefault="00CA60D7" w:rsidP="00571DEE">
      <w:pPr>
        <w:tabs>
          <w:tab w:val="left" w:pos="1701"/>
        </w:tabs>
        <w:spacing w:line="240" w:lineRule="auto"/>
        <w:jc w:val="both"/>
        <w:rPr>
          <w:szCs w:val="22"/>
        </w:rPr>
      </w:pPr>
    </w:p>
    <w:p w14:paraId="1694757D" w14:textId="5F5722EA" w:rsidR="00571DEE" w:rsidRPr="00EC107F" w:rsidRDefault="00571DEE" w:rsidP="00571DEE">
      <w:pPr>
        <w:tabs>
          <w:tab w:val="left" w:pos="1701"/>
        </w:tabs>
        <w:spacing w:line="240" w:lineRule="auto"/>
        <w:jc w:val="both"/>
        <w:rPr>
          <w:b/>
          <w:szCs w:val="22"/>
        </w:rPr>
      </w:pPr>
      <w:r w:rsidRPr="00EC107F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9"/>
        <w:gridCol w:w="4522"/>
      </w:tblGrid>
      <w:tr w:rsidR="00CA60D7" w:rsidRPr="00EC107F" w14:paraId="3CB9220D" w14:textId="77777777">
        <w:tc>
          <w:tcPr>
            <w:tcW w:w="4539" w:type="dxa"/>
            <w:shd w:val="clear" w:color="auto" w:fill="auto"/>
            <w:vAlign w:val="center"/>
          </w:tcPr>
          <w:p w14:paraId="14DB20F0" w14:textId="77777777" w:rsidR="00CA60D7" w:rsidRPr="00EC107F" w:rsidRDefault="00571DEE" w:rsidP="00571DEE">
            <w:pPr>
              <w:spacing w:before="40" w:after="40" w:line="240" w:lineRule="auto"/>
              <w:rPr>
                <w:b/>
                <w:bCs/>
                <w:iCs/>
                <w:szCs w:val="22"/>
              </w:rPr>
            </w:pPr>
            <w:r w:rsidRPr="00EC107F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358B5142" w14:textId="77777777" w:rsidR="00CA60D7" w:rsidRPr="00EC107F" w:rsidRDefault="00571DEE" w:rsidP="00571DEE">
            <w:pPr>
              <w:spacing w:before="40" w:after="40" w:line="240" w:lineRule="auto"/>
              <w:rPr>
                <w:b/>
                <w:bCs/>
                <w:iCs/>
                <w:szCs w:val="22"/>
              </w:rPr>
            </w:pPr>
            <w:r w:rsidRPr="00EC107F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A60D7" w:rsidRPr="00EC107F" w14:paraId="43A0B1F5" w14:textId="77777777">
        <w:tc>
          <w:tcPr>
            <w:tcW w:w="4539" w:type="dxa"/>
            <w:shd w:val="clear" w:color="auto" w:fill="auto"/>
            <w:vAlign w:val="center"/>
          </w:tcPr>
          <w:p w14:paraId="255C14BB" w14:textId="054C07B2" w:rsidR="00CA60D7" w:rsidRPr="00EC107F" w:rsidRDefault="00571DEE" w:rsidP="00571DEE">
            <w:pPr>
              <w:spacing w:before="40" w:after="40" w:line="240" w:lineRule="auto"/>
              <w:ind w:left="567" w:hanging="567"/>
              <w:rPr>
                <w:iCs/>
                <w:szCs w:val="22"/>
              </w:rPr>
            </w:pPr>
            <w:proofErr w:type="spellStart"/>
            <w:r w:rsidRPr="00EC107F">
              <w:rPr>
                <w:szCs w:val="22"/>
              </w:rPr>
              <w:t>Butylhydroxyanisol</w:t>
            </w:r>
            <w:proofErr w:type="spellEnd"/>
            <w:r w:rsidRPr="00EC107F">
              <w:rPr>
                <w:szCs w:val="22"/>
              </w:rPr>
              <w:t xml:space="preserve"> (E320)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589412C3" w14:textId="77777777" w:rsidR="00CA60D7" w:rsidRPr="00EC107F" w:rsidRDefault="00571DEE" w:rsidP="00571DEE">
            <w:pPr>
              <w:spacing w:before="40" w:after="40" w:line="240" w:lineRule="auto"/>
              <w:rPr>
                <w:iCs/>
                <w:szCs w:val="22"/>
              </w:rPr>
            </w:pPr>
            <w:r w:rsidRPr="00EC107F">
              <w:rPr>
                <w:szCs w:val="22"/>
              </w:rPr>
              <w:t>1,8 mg</w:t>
            </w:r>
          </w:p>
        </w:tc>
      </w:tr>
      <w:tr w:rsidR="00CA60D7" w:rsidRPr="00EC107F" w14:paraId="16CB3496" w14:textId="77777777">
        <w:tc>
          <w:tcPr>
            <w:tcW w:w="4539" w:type="dxa"/>
            <w:shd w:val="clear" w:color="auto" w:fill="auto"/>
            <w:vAlign w:val="center"/>
          </w:tcPr>
          <w:p w14:paraId="06D7EC28" w14:textId="77777777" w:rsidR="00CA60D7" w:rsidRPr="00EC107F" w:rsidRDefault="00571DEE" w:rsidP="00571DEE">
            <w:pPr>
              <w:spacing w:before="40" w:after="40" w:line="240" w:lineRule="auto"/>
              <w:rPr>
                <w:iCs/>
                <w:szCs w:val="22"/>
              </w:rPr>
            </w:pPr>
            <w:r w:rsidRPr="00EC107F">
              <w:rPr>
                <w:szCs w:val="22"/>
              </w:rPr>
              <w:t>Hydrogenovaný ricinový olej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248B8071" w14:textId="77777777" w:rsidR="00CA60D7" w:rsidRPr="00EC107F" w:rsidRDefault="00CA60D7" w:rsidP="00571DEE">
            <w:pPr>
              <w:spacing w:before="40" w:after="40" w:line="240" w:lineRule="auto"/>
              <w:rPr>
                <w:iCs/>
                <w:szCs w:val="22"/>
              </w:rPr>
            </w:pPr>
          </w:p>
        </w:tc>
      </w:tr>
      <w:tr w:rsidR="00CA60D7" w:rsidRPr="00EC107F" w14:paraId="5F3AE11A" w14:textId="77777777">
        <w:tc>
          <w:tcPr>
            <w:tcW w:w="4539" w:type="dxa"/>
            <w:shd w:val="clear" w:color="auto" w:fill="auto"/>
            <w:vAlign w:val="center"/>
          </w:tcPr>
          <w:p w14:paraId="0CAD278D" w14:textId="77777777" w:rsidR="00CA60D7" w:rsidRPr="00EC107F" w:rsidRDefault="00571DEE" w:rsidP="00571DEE">
            <w:pPr>
              <w:spacing w:before="40" w:after="40" w:line="240" w:lineRule="auto"/>
              <w:rPr>
                <w:iCs/>
                <w:szCs w:val="22"/>
              </w:rPr>
            </w:pPr>
            <w:r w:rsidRPr="00EC107F">
              <w:rPr>
                <w:szCs w:val="22"/>
              </w:rPr>
              <w:t>Podzemnicový olej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69D30384" w14:textId="77777777" w:rsidR="00CA60D7" w:rsidRPr="00EC107F" w:rsidRDefault="00CA60D7" w:rsidP="00571DEE">
            <w:pPr>
              <w:spacing w:before="40" w:after="40" w:line="240" w:lineRule="auto"/>
              <w:rPr>
                <w:iCs/>
                <w:szCs w:val="22"/>
              </w:rPr>
            </w:pPr>
          </w:p>
        </w:tc>
      </w:tr>
    </w:tbl>
    <w:p w14:paraId="70DA8FD7" w14:textId="77777777" w:rsidR="00CA60D7" w:rsidRPr="00EC107F" w:rsidRDefault="00CA60D7" w:rsidP="00571DEE">
      <w:pPr>
        <w:pStyle w:val="INTERLIGNE125"/>
        <w:keepLines w:val="0"/>
        <w:spacing w:line="240" w:lineRule="auto"/>
        <w:rPr>
          <w:rFonts w:ascii="Times New Roman" w:hAnsi="Times New Roman" w:cs="Times New Roman"/>
          <w:sz w:val="22"/>
          <w:szCs w:val="22"/>
          <w:lang w:val="cs-CZ"/>
        </w:rPr>
      </w:pPr>
    </w:p>
    <w:p w14:paraId="5462FCBA" w14:textId="77777777" w:rsidR="00CA60D7" w:rsidRPr="00EC107F" w:rsidRDefault="00571DEE" w:rsidP="00571DEE">
      <w:pPr>
        <w:tabs>
          <w:tab w:val="clear" w:pos="567"/>
        </w:tabs>
        <w:spacing w:line="240" w:lineRule="auto"/>
        <w:rPr>
          <w:szCs w:val="22"/>
        </w:rPr>
      </w:pPr>
      <w:r w:rsidRPr="00EC107F">
        <w:rPr>
          <w:szCs w:val="22"/>
        </w:rPr>
        <w:t>Béžová, nažloutlá olejovitá suspenze.</w:t>
      </w:r>
    </w:p>
    <w:p w14:paraId="748655D1" w14:textId="77777777" w:rsidR="00CA60D7" w:rsidRPr="00EC107F" w:rsidRDefault="00CA60D7" w:rsidP="00571DEE">
      <w:pPr>
        <w:pStyle w:val="Style1"/>
      </w:pPr>
    </w:p>
    <w:p w14:paraId="6097227E" w14:textId="77777777" w:rsidR="00CA60D7" w:rsidRPr="00EC107F" w:rsidRDefault="00CA60D7" w:rsidP="00571DEE">
      <w:pPr>
        <w:pStyle w:val="Style1"/>
      </w:pPr>
    </w:p>
    <w:p w14:paraId="21132773" w14:textId="326A1768" w:rsidR="00CA60D7" w:rsidRPr="00EC107F" w:rsidRDefault="00571DEE" w:rsidP="00571DEE">
      <w:pPr>
        <w:pStyle w:val="Style1"/>
      </w:pPr>
      <w:r w:rsidRPr="00EC107F">
        <w:t>3.</w:t>
      </w:r>
      <w:r w:rsidRPr="00EC107F">
        <w:tab/>
        <w:t>KLINICKÉ INFORMACE</w:t>
      </w:r>
    </w:p>
    <w:p w14:paraId="76DD1AED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1B5EE020" w14:textId="2B10C860" w:rsidR="00CA60D7" w:rsidRPr="00EC107F" w:rsidRDefault="00571DEE" w:rsidP="00571DEE">
      <w:pPr>
        <w:pStyle w:val="Style1"/>
      </w:pPr>
      <w:r w:rsidRPr="00EC107F">
        <w:t>3.1</w:t>
      </w:r>
      <w:r w:rsidRPr="00EC107F">
        <w:tab/>
        <w:t>Cílové druhy zvířat</w:t>
      </w:r>
    </w:p>
    <w:p w14:paraId="21C8E001" w14:textId="77777777" w:rsidR="00CA60D7" w:rsidRPr="00EC107F" w:rsidRDefault="00CA60D7" w:rsidP="00571DEE">
      <w:pPr>
        <w:spacing w:line="240" w:lineRule="auto"/>
        <w:jc w:val="both"/>
        <w:rPr>
          <w:szCs w:val="22"/>
        </w:rPr>
      </w:pPr>
    </w:p>
    <w:p w14:paraId="32463891" w14:textId="2BCA7703" w:rsidR="00CA60D7" w:rsidRPr="00EC107F" w:rsidRDefault="00BF22D5" w:rsidP="00571DEE">
      <w:pPr>
        <w:spacing w:line="240" w:lineRule="auto"/>
        <w:jc w:val="both"/>
        <w:rPr>
          <w:caps/>
          <w:szCs w:val="22"/>
        </w:rPr>
      </w:pPr>
      <w:r w:rsidRPr="00EC107F">
        <w:rPr>
          <w:szCs w:val="22"/>
        </w:rPr>
        <w:t>Skot (</w:t>
      </w:r>
      <w:proofErr w:type="spellStart"/>
      <w:r w:rsidR="00273923">
        <w:rPr>
          <w:szCs w:val="22"/>
        </w:rPr>
        <w:t>laktující</w:t>
      </w:r>
      <w:proofErr w:type="spellEnd"/>
      <w:r w:rsidR="00273923">
        <w:rPr>
          <w:szCs w:val="22"/>
        </w:rPr>
        <w:t xml:space="preserve"> krávy</w:t>
      </w:r>
      <w:r w:rsidRPr="00EC107F">
        <w:rPr>
          <w:szCs w:val="22"/>
        </w:rPr>
        <w:t>)</w:t>
      </w:r>
      <w:r w:rsidR="00571DEE" w:rsidRPr="00EC107F">
        <w:rPr>
          <w:szCs w:val="22"/>
        </w:rPr>
        <w:t>.</w:t>
      </w:r>
    </w:p>
    <w:p w14:paraId="4AF4E0FA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36E0015A" w14:textId="05F46C7D" w:rsidR="00CA60D7" w:rsidRPr="00EC107F" w:rsidRDefault="00571DEE" w:rsidP="00571DEE">
      <w:pPr>
        <w:pStyle w:val="Style1"/>
      </w:pPr>
      <w:r w:rsidRPr="00EC107F">
        <w:t>3.2</w:t>
      </w:r>
      <w:r w:rsidRPr="00EC107F">
        <w:tab/>
        <w:t>Indikace pro použití pro každý cílový druh zvířat</w:t>
      </w:r>
    </w:p>
    <w:p w14:paraId="4AA0BAF4" w14:textId="77777777" w:rsidR="00CA60D7" w:rsidRPr="00EC107F" w:rsidRDefault="00CA60D7" w:rsidP="00571DEE">
      <w:pPr>
        <w:spacing w:line="240" w:lineRule="auto"/>
        <w:jc w:val="both"/>
        <w:rPr>
          <w:szCs w:val="22"/>
        </w:rPr>
      </w:pPr>
    </w:p>
    <w:p w14:paraId="1330F3A4" w14:textId="77777777" w:rsidR="00CA60D7" w:rsidRPr="00EC107F" w:rsidRDefault="00571DEE" w:rsidP="00571DEE">
      <w:pPr>
        <w:spacing w:line="240" w:lineRule="auto"/>
        <w:jc w:val="both"/>
        <w:rPr>
          <w:szCs w:val="22"/>
        </w:rPr>
      </w:pPr>
      <w:r w:rsidRPr="00EC107F">
        <w:rPr>
          <w:szCs w:val="22"/>
        </w:rPr>
        <w:t xml:space="preserve">Léčba mastitid laktujících dojnic vyvolaných zárodky citlivými na cefalexin. </w:t>
      </w:r>
    </w:p>
    <w:p w14:paraId="57FF9B9D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53964A13" w14:textId="0CF2B60E" w:rsidR="00CA60D7" w:rsidRPr="00EC107F" w:rsidRDefault="00571DEE" w:rsidP="00571DEE">
      <w:pPr>
        <w:pStyle w:val="Style1"/>
      </w:pPr>
      <w:r w:rsidRPr="00EC107F">
        <w:t>3.3</w:t>
      </w:r>
      <w:r w:rsidRPr="00EC107F">
        <w:tab/>
        <w:t>Kontraindikace</w:t>
      </w:r>
    </w:p>
    <w:p w14:paraId="47A4A693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12972FEB" w14:textId="563EE4DE" w:rsidR="00CA60D7" w:rsidRPr="00EC107F" w:rsidRDefault="00571DEE" w:rsidP="00571DEE">
      <w:pPr>
        <w:spacing w:line="240" w:lineRule="auto"/>
        <w:jc w:val="both"/>
        <w:rPr>
          <w:caps/>
          <w:szCs w:val="22"/>
        </w:rPr>
      </w:pPr>
      <w:r w:rsidRPr="00EC107F">
        <w:rPr>
          <w:szCs w:val="22"/>
        </w:rPr>
        <w:t>Nepoužívat v případech přecitlivělost</w:t>
      </w:r>
      <w:r w:rsidR="00BF22D5" w:rsidRPr="00EC107F">
        <w:rPr>
          <w:szCs w:val="22"/>
        </w:rPr>
        <w:t>i</w:t>
      </w:r>
      <w:r w:rsidRPr="00EC107F">
        <w:rPr>
          <w:szCs w:val="22"/>
        </w:rPr>
        <w:t xml:space="preserve"> na cefalosporiny.</w:t>
      </w:r>
    </w:p>
    <w:p w14:paraId="4D160E08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45D269A3" w14:textId="14EF9840" w:rsidR="00CA60D7" w:rsidRPr="00EC107F" w:rsidRDefault="00571DEE" w:rsidP="00571DEE">
      <w:pPr>
        <w:pStyle w:val="Style1"/>
      </w:pPr>
      <w:r w:rsidRPr="00EC107F">
        <w:t>3.4</w:t>
      </w:r>
      <w:r w:rsidRPr="00EC107F">
        <w:tab/>
        <w:t>Zvláštní upozornění</w:t>
      </w:r>
    </w:p>
    <w:p w14:paraId="342B64A3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387843F3" w14:textId="7C51CE37" w:rsidR="00EA5D85" w:rsidRPr="00EC107F" w:rsidRDefault="007C46AA" w:rsidP="00EA5D85">
      <w:pPr>
        <w:spacing w:line="240" w:lineRule="auto"/>
        <w:jc w:val="both"/>
        <w:rPr>
          <w:szCs w:val="22"/>
        </w:rPr>
      </w:pPr>
      <w:r>
        <w:rPr>
          <w:szCs w:val="22"/>
        </w:rPr>
        <w:t>Nejsou.</w:t>
      </w:r>
      <w:bookmarkStart w:id="1" w:name="_Hlk199861162"/>
    </w:p>
    <w:bookmarkEnd w:id="1"/>
    <w:p w14:paraId="78D39E56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44B446CD" w14:textId="6960FF6D" w:rsidR="00CA60D7" w:rsidRPr="00EC107F" w:rsidRDefault="00571DEE" w:rsidP="00571DEE">
      <w:pPr>
        <w:pStyle w:val="Style1"/>
      </w:pPr>
      <w:r w:rsidRPr="00EC107F">
        <w:t>3.5</w:t>
      </w:r>
      <w:r w:rsidRPr="00EC107F">
        <w:tab/>
        <w:t>Zvláštní opatření pro použití</w:t>
      </w:r>
    </w:p>
    <w:p w14:paraId="530D0BC6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36899AF3" w14:textId="77777777" w:rsidR="00CA60D7" w:rsidRPr="00EC107F" w:rsidRDefault="00571DEE" w:rsidP="00571DE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C107F">
        <w:rPr>
          <w:szCs w:val="22"/>
          <w:u w:val="single"/>
        </w:rPr>
        <w:t>Zvláštní opatření pro bezpečné použití u cílových druhů zvířat:</w:t>
      </w:r>
    </w:p>
    <w:p w14:paraId="580A24F5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3491874B" w14:textId="2A77CBDE" w:rsidR="00273923" w:rsidRDefault="00571DEE" w:rsidP="00571DEE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bookmarkStart w:id="2" w:name="_Hlk199861247"/>
      <w:r w:rsidRPr="00EC107F">
        <w:rPr>
          <w:szCs w:val="22"/>
        </w:rPr>
        <w:t xml:space="preserve">Použití veterinárního léčivého přípravku by mělo být založeno na </w:t>
      </w:r>
      <w:r w:rsidR="00EA5D85" w:rsidRPr="00EC107F">
        <w:rPr>
          <w:szCs w:val="22"/>
        </w:rPr>
        <w:t xml:space="preserve">identifikaci a </w:t>
      </w:r>
      <w:r w:rsidRPr="00EC107F">
        <w:rPr>
          <w:szCs w:val="22"/>
        </w:rPr>
        <w:t xml:space="preserve">výsledku </w:t>
      </w:r>
      <w:r w:rsidR="00EA5D85" w:rsidRPr="00EC107F">
        <w:rPr>
          <w:szCs w:val="22"/>
        </w:rPr>
        <w:t>stanovení</w:t>
      </w:r>
      <w:r w:rsidRPr="00EC107F">
        <w:rPr>
          <w:szCs w:val="22"/>
        </w:rPr>
        <w:t xml:space="preserve"> citlivosti </w:t>
      </w:r>
      <w:r w:rsidR="002D1BCA" w:rsidRPr="00EC107F">
        <w:rPr>
          <w:szCs w:val="22"/>
        </w:rPr>
        <w:t>cílového patogenu/cílových patogenů. Pokud to není možné, je nutné založit terapii na místních</w:t>
      </w:r>
      <w:r w:rsidRPr="00EC107F">
        <w:rPr>
          <w:szCs w:val="22"/>
        </w:rPr>
        <w:t xml:space="preserve"> (region</w:t>
      </w:r>
      <w:r w:rsidR="002D1BCA" w:rsidRPr="00EC107F">
        <w:rPr>
          <w:szCs w:val="22"/>
        </w:rPr>
        <w:t>álních</w:t>
      </w:r>
      <w:r w:rsidRPr="00EC107F">
        <w:rPr>
          <w:szCs w:val="22"/>
        </w:rPr>
        <w:t xml:space="preserve">, </w:t>
      </w:r>
      <w:r w:rsidR="002D1BCA" w:rsidRPr="00EC107F">
        <w:rPr>
          <w:szCs w:val="22"/>
        </w:rPr>
        <w:t xml:space="preserve">na úrovni </w:t>
      </w:r>
      <w:r w:rsidRPr="00EC107F">
        <w:rPr>
          <w:szCs w:val="22"/>
        </w:rPr>
        <w:t>farm</w:t>
      </w:r>
      <w:r w:rsidR="002D1BCA" w:rsidRPr="00EC107F">
        <w:rPr>
          <w:szCs w:val="22"/>
        </w:rPr>
        <w:t>y</w:t>
      </w:r>
      <w:r w:rsidRPr="00EC107F">
        <w:rPr>
          <w:szCs w:val="22"/>
        </w:rPr>
        <w:t xml:space="preserve">) </w:t>
      </w:r>
      <w:proofErr w:type="spellStart"/>
      <w:r w:rsidRPr="00EC107F">
        <w:rPr>
          <w:szCs w:val="22"/>
        </w:rPr>
        <w:t>epizootologick</w:t>
      </w:r>
      <w:r w:rsidR="002D1BCA" w:rsidRPr="00EC107F">
        <w:rPr>
          <w:szCs w:val="22"/>
        </w:rPr>
        <w:t>ých</w:t>
      </w:r>
      <w:proofErr w:type="spellEnd"/>
      <w:r w:rsidRPr="00EC107F">
        <w:rPr>
          <w:szCs w:val="22"/>
        </w:rPr>
        <w:t xml:space="preserve"> </w:t>
      </w:r>
      <w:r w:rsidR="002D1BCA" w:rsidRPr="00EC107F">
        <w:rPr>
          <w:szCs w:val="22"/>
        </w:rPr>
        <w:t>informacích a znalostech o citlivosti cílového patogen</w:t>
      </w:r>
      <w:r w:rsidR="006E260E" w:rsidRPr="00EC107F">
        <w:rPr>
          <w:szCs w:val="22"/>
        </w:rPr>
        <w:t>u</w:t>
      </w:r>
      <w:r w:rsidR="002D1BCA" w:rsidRPr="00EC107F">
        <w:rPr>
          <w:szCs w:val="22"/>
        </w:rPr>
        <w:t>/cílových patogenů.</w:t>
      </w:r>
    </w:p>
    <w:p w14:paraId="0178224D" w14:textId="77777777" w:rsidR="007C46AA" w:rsidRPr="00EC107F" w:rsidRDefault="007C46AA" w:rsidP="007C46AA">
      <w:pPr>
        <w:tabs>
          <w:tab w:val="clear" w:pos="567"/>
        </w:tabs>
        <w:spacing w:line="240" w:lineRule="auto"/>
        <w:rPr>
          <w:szCs w:val="22"/>
        </w:rPr>
      </w:pPr>
      <w:r w:rsidRPr="00EC107F">
        <w:rPr>
          <w:szCs w:val="22"/>
        </w:rPr>
        <w:t>Použití veterinárního léčivého přípravku, které je odlišné od pokynů uvedených v tomto souhrnu údajů o přípravku (SPC), může zvýšit prevalenci bakterií rezistentních na cefalexin a snížit účinnost terapie ostatními cefalosporiny z důvodu možné zkřížené rezistence.</w:t>
      </w:r>
    </w:p>
    <w:p w14:paraId="11356965" w14:textId="22ABA389" w:rsidR="00CD6246" w:rsidRDefault="00273923" w:rsidP="00571DEE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bookmarkStart w:id="3" w:name="_Hlk207368878"/>
      <w:r w:rsidRPr="00273923">
        <w:rPr>
          <w:szCs w:val="22"/>
        </w:rPr>
        <w:t>Při použití veterinárního léčivého přípravku je nutno vzít v úvahu oficiální, národní a místní pravidla antibiotické politiky</w:t>
      </w:r>
      <w:bookmarkEnd w:id="3"/>
      <w:r w:rsidRPr="00273923">
        <w:rPr>
          <w:szCs w:val="22"/>
        </w:rPr>
        <w:t>.</w:t>
      </w:r>
      <w:r w:rsidR="00CD6246" w:rsidRPr="00CD6246">
        <w:rPr>
          <w:szCs w:val="22"/>
        </w:rPr>
        <w:t xml:space="preserve"> </w:t>
      </w:r>
    </w:p>
    <w:p w14:paraId="1838AC30" w14:textId="1F015563" w:rsidR="00CA60D7" w:rsidRPr="00EC107F" w:rsidRDefault="00CD6246" w:rsidP="00571DEE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bookmarkStart w:id="4" w:name="_Hlk207368989"/>
      <w:r w:rsidRPr="00EC107F">
        <w:rPr>
          <w:szCs w:val="22"/>
        </w:rPr>
        <w:lastRenderedPageBreak/>
        <w:t>Použití veterinárního léčivého přípravku je třeba zvážit v případech, kdy je známa rezistence cílových patogenů vůči příbuzným třídám antimikrobních látek (v rámci skupiny beta-laktamů), neboť účinnost může být snížena</w:t>
      </w:r>
      <w:bookmarkEnd w:id="4"/>
      <w:r w:rsidRPr="00EC107F">
        <w:rPr>
          <w:szCs w:val="22"/>
        </w:rPr>
        <w:t>.</w:t>
      </w:r>
    </w:p>
    <w:bookmarkEnd w:id="2"/>
    <w:p w14:paraId="181DFBC1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01783D35" w14:textId="6876B6CD" w:rsidR="00CA60D7" w:rsidRPr="00EC107F" w:rsidRDefault="00571DEE" w:rsidP="00E93E63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EC107F">
        <w:rPr>
          <w:szCs w:val="22"/>
          <w:u w:val="single"/>
        </w:rPr>
        <w:t>Zvláštní opatření pro osobu, která podává veterinární léčivý přípravek zvířatům:</w:t>
      </w:r>
    </w:p>
    <w:p w14:paraId="7CD0CDCD" w14:textId="77777777" w:rsidR="00CA60D7" w:rsidRPr="00EC107F" w:rsidRDefault="00CA60D7" w:rsidP="00E93E6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126347C" w14:textId="1EE307CE" w:rsidR="00CA60D7" w:rsidRPr="00EC107F" w:rsidRDefault="00571DEE" w:rsidP="00571DEE">
      <w:pPr>
        <w:spacing w:line="240" w:lineRule="auto"/>
        <w:rPr>
          <w:szCs w:val="22"/>
        </w:rPr>
      </w:pPr>
      <w:r w:rsidRPr="00EC107F">
        <w:rPr>
          <w:szCs w:val="22"/>
        </w:rPr>
        <w:t xml:space="preserve">Peniciliny a cefalosporiny mohou po injekci, inhalaci, požití nebo po kožním kontaktu vyvolat hypersensitivitu (alergii). Hypersensitivita na cefalosporiny může vést ke zkříženým reakcím s peniciliny a naopak. </w:t>
      </w:r>
      <w:r w:rsidR="00F37231" w:rsidRPr="00EC107F">
        <w:rPr>
          <w:szCs w:val="22"/>
        </w:rPr>
        <w:t>Alergické reakce na tyto látky mohou být v některých případech vážné</w:t>
      </w:r>
      <w:r w:rsidRPr="00EC107F">
        <w:rPr>
          <w:szCs w:val="22"/>
        </w:rPr>
        <w:t xml:space="preserve">. </w:t>
      </w:r>
    </w:p>
    <w:p w14:paraId="47BAFB5A" w14:textId="77777777" w:rsidR="00CA60D7" w:rsidRPr="00EC107F" w:rsidRDefault="00571DEE" w:rsidP="00571DEE">
      <w:pPr>
        <w:spacing w:line="240" w:lineRule="auto"/>
        <w:rPr>
          <w:szCs w:val="22"/>
        </w:rPr>
      </w:pPr>
      <w:r w:rsidRPr="00EC107F">
        <w:rPr>
          <w:szCs w:val="22"/>
        </w:rPr>
        <w:t xml:space="preserve">Lidé se známou přecitlivělostí na peniciliny a cefalosporiny by se měli vyhnout kontaktu s veterinárním léčivým přípravkem. </w:t>
      </w:r>
    </w:p>
    <w:p w14:paraId="6B498622" w14:textId="46758011" w:rsidR="00C75287" w:rsidRPr="00EC107F" w:rsidRDefault="00C75287" w:rsidP="00C75287">
      <w:pPr>
        <w:spacing w:line="240" w:lineRule="auto"/>
        <w:rPr>
          <w:szCs w:val="22"/>
        </w:rPr>
      </w:pPr>
      <w:r w:rsidRPr="00EC107F">
        <w:rPr>
          <w:szCs w:val="22"/>
        </w:rPr>
        <w:t xml:space="preserve">Při nakládání s veterinárním léčivým přípravkem </w:t>
      </w:r>
      <w:r w:rsidR="00F37231" w:rsidRPr="00EC107F">
        <w:rPr>
          <w:szCs w:val="22"/>
        </w:rPr>
        <w:t xml:space="preserve">by se měly používat osobní ochranné prostředky skládající se z </w:t>
      </w:r>
      <w:r w:rsidRPr="00EC107F">
        <w:rPr>
          <w:szCs w:val="22"/>
        </w:rPr>
        <w:t>gumov</w:t>
      </w:r>
      <w:r w:rsidR="00F37231" w:rsidRPr="00EC107F">
        <w:rPr>
          <w:szCs w:val="22"/>
        </w:rPr>
        <w:t>ých</w:t>
      </w:r>
      <w:r w:rsidRPr="00EC107F">
        <w:rPr>
          <w:szCs w:val="22"/>
        </w:rPr>
        <w:t xml:space="preserve"> rukavic.</w:t>
      </w:r>
    </w:p>
    <w:p w14:paraId="7EABA967" w14:textId="24BEECFC" w:rsidR="00C75287" w:rsidRPr="00EC107F" w:rsidRDefault="00030870" w:rsidP="00C75287">
      <w:pPr>
        <w:spacing w:line="240" w:lineRule="auto"/>
        <w:rPr>
          <w:szCs w:val="22"/>
        </w:rPr>
      </w:pPr>
      <w:r w:rsidRPr="00EC107F">
        <w:rPr>
          <w:szCs w:val="22"/>
        </w:rPr>
        <w:t>Zabraňte</w:t>
      </w:r>
      <w:r w:rsidR="00C75287" w:rsidRPr="00EC107F">
        <w:rPr>
          <w:szCs w:val="22"/>
        </w:rPr>
        <w:t xml:space="preserve"> náhodnému </w:t>
      </w:r>
      <w:proofErr w:type="spellStart"/>
      <w:r w:rsidR="00C75287" w:rsidRPr="00EC107F">
        <w:rPr>
          <w:szCs w:val="22"/>
        </w:rPr>
        <w:t>samopodání</w:t>
      </w:r>
      <w:proofErr w:type="spellEnd"/>
      <w:r w:rsidR="00C75287" w:rsidRPr="00EC107F">
        <w:rPr>
          <w:szCs w:val="22"/>
        </w:rPr>
        <w:t xml:space="preserve"> injekce. Chraňte jehlu až do okamžiku podání přípravku. V případě náhodného sebepoškození injekčně podaným přípravkem, vyhledejte ihned lékařskou pomoc a ukažte příbalovou informaci nebo etiketu praktickému lékaři.</w:t>
      </w:r>
    </w:p>
    <w:p w14:paraId="754320B6" w14:textId="3148F974" w:rsidR="00CA60D7" w:rsidRPr="00EC107F" w:rsidRDefault="00571DEE" w:rsidP="00571DEE">
      <w:pPr>
        <w:spacing w:line="240" w:lineRule="auto"/>
        <w:rPr>
          <w:szCs w:val="22"/>
        </w:rPr>
      </w:pPr>
      <w:r w:rsidRPr="00EC107F">
        <w:rPr>
          <w:szCs w:val="22"/>
        </w:rPr>
        <w:t xml:space="preserve">Pokud se rozvinou </w:t>
      </w:r>
      <w:proofErr w:type="spellStart"/>
      <w:r w:rsidRPr="00EC107F">
        <w:rPr>
          <w:szCs w:val="22"/>
        </w:rPr>
        <w:t>postexpoziční</w:t>
      </w:r>
      <w:proofErr w:type="spellEnd"/>
      <w:r w:rsidRPr="00EC107F">
        <w:rPr>
          <w:szCs w:val="22"/>
        </w:rPr>
        <w:t xml:space="preserve"> příznaky jako kožní vyrážka, vyhledejte lékařskou pomoc a ukažte příbalovou informaci nebo etiketu praktickému lékaři. Otok obličeje, rtů, očí nebo potíže s dýcháním jsou vážné symptomy a </w:t>
      </w:r>
      <w:bookmarkStart w:id="5" w:name="_Hlk186791545"/>
      <w:r w:rsidR="00E72485" w:rsidRPr="00EC107F">
        <w:rPr>
          <w:szCs w:val="22"/>
        </w:rPr>
        <w:t>vyžadují okamžitou lékařskou pomoc</w:t>
      </w:r>
      <w:bookmarkEnd w:id="5"/>
      <w:r w:rsidRPr="00EC107F">
        <w:rPr>
          <w:szCs w:val="22"/>
        </w:rPr>
        <w:t>.</w:t>
      </w:r>
    </w:p>
    <w:p w14:paraId="2B4AE127" w14:textId="77777777" w:rsidR="00CA60D7" w:rsidRPr="00EC107F" w:rsidRDefault="00571DEE" w:rsidP="00571DEE">
      <w:pPr>
        <w:spacing w:line="240" w:lineRule="auto"/>
        <w:rPr>
          <w:szCs w:val="22"/>
        </w:rPr>
      </w:pPr>
      <w:r w:rsidRPr="00EC107F">
        <w:rPr>
          <w:szCs w:val="22"/>
        </w:rPr>
        <w:t>Po použití veterinárního léčivého přípravku si umyjte ruce.</w:t>
      </w:r>
    </w:p>
    <w:p w14:paraId="72AC5288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57E7228B" w14:textId="77777777" w:rsidR="00CA60D7" w:rsidRPr="00EC107F" w:rsidRDefault="00571DEE" w:rsidP="00D05B1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EC107F">
        <w:rPr>
          <w:szCs w:val="22"/>
          <w:u w:val="single"/>
        </w:rPr>
        <w:t>Zvláštní opatření pro ochranu životního prostředí:</w:t>
      </w:r>
    </w:p>
    <w:p w14:paraId="59250124" w14:textId="77777777" w:rsidR="00CA60D7" w:rsidRPr="00EC107F" w:rsidRDefault="00CA60D7" w:rsidP="00D05B1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BA9A953" w14:textId="77777777" w:rsidR="00CA60D7" w:rsidRPr="00EC107F" w:rsidRDefault="00571DEE" w:rsidP="00571DEE">
      <w:pPr>
        <w:tabs>
          <w:tab w:val="clear" w:pos="567"/>
        </w:tabs>
        <w:spacing w:line="240" w:lineRule="auto"/>
        <w:rPr>
          <w:szCs w:val="22"/>
        </w:rPr>
      </w:pPr>
      <w:r w:rsidRPr="00EC107F">
        <w:rPr>
          <w:szCs w:val="22"/>
        </w:rPr>
        <w:t>Neuplatňuje se.</w:t>
      </w:r>
    </w:p>
    <w:p w14:paraId="36D1E0E5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175CD35C" w14:textId="4B389D0B" w:rsidR="00CA60D7" w:rsidRPr="00EC107F" w:rsidRDefault="00571DEE" w:rsidP="00571DEE">
      <w:pPr>
        <w:pStyle w:val="Style1"/>
      </w:pPr>
      <w:r w:rsidRPr="00EC107F">
        <w:t>3.6</w:t>
      </w:r>
      <w:r w:rsidRPr="00EC107F">
        <w:tab/>
        <w:t>Nežádoucí účinky</w:t>
      </w:r>
    </w:p>
    <w:p w14:paraId="5F25277E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2F68FA05" w14:textId="1907CA12" w:rsidR="00571DEE" w:rsidRPr="00EC107F" w:rsidRDefault="007C46AA" w:rsidP="00571DEE">
      <w:pPr>
        <w:spacing w:line="240" w:lineRule="auto"/>
        <w:jc w:val="both"/>
        <w:rPr>
          <w:caps/>
          <w:szCs w:val="22"/>
        </w:rPr>
      </w:pPr>
      <w:r>
        <w:rPr>
          <w:szCs w:val="22"/>
        </w:rPr>
        <w:t>Skot (</w:t>
      </w:r>
      <w:proofErr w:type="spellStart"/>
      <w:r>
        <w:rPr>
          <w:szCs w:val="22"/>
        </w:rPr>
        <w:t>l</w:t>
      </w:r>
      <w:r w:rsidR="00CD6246">
        <w:rPr>
          <w:szCs w:val="22"/>
        </w:rPr>
        <w:t>aktující</w:t>
      </w:r>
      <w:proofErr w:type="spellEnd"/>
      <w:r w:rsidR="00CD6246">
        <w:rPr>
          <w:szCs w:val="22"/>
        </w:rPr>
        <w:t xml:space="preserve"> krávy</w:t>
      </w:r>
      <w:r>
        <w:rPr>
          <w:szCs w:val="22"/>
        </w:rPr>
        <w:t>)</w:t>
      </w:r>
      <w:r w:rsidR="00571DEE" w:rsidRPr="00EC107F">
        <w:rPr>
          <w:szCs w:val="22"/>
        </w:rPr>
        <w:t>:</w:t>
      </w:r>
    </w:p>
    <w:p w14:paraId="694C6536" w14:textId="77777777" w:rsidR="00CA60D7" w:rsidRPr="00EC107F" w:rsidRDefault="00571DEE" w:rsidP="00571DEE">
      <w:pPr>
        <w:spacing w:line="240" w:lineRule="auto"/>
        <w:rPr>
          <w:szCs w:val="22"/>
        </w:rPr>
      </w:pPr>
      <w:r w:rsidRPr="00EC107F">
        <w:rPr>
          <w:szCs w:val="22"/>
        </w:rPr>
        <w:t>Nejsou známy.</w:t>
      </w:r>
    </w:p>
    <w:p w14:paraId="32D3A8D4" w14:textId="77777777" w:rsidR="00CA60D7" w:rsidRPr="00EC107F" w:rsidRDefault="00CA60D7" w:rsidP="00571DEE">
      <w:pPr>
        <w:spacing w:line="240" w:lineRule="auto"/>
        <w:rPr>
          <w:szCs w:val="22"/>
        </w:rPr>
      </w:pPr>
    </w:p>
    <w:p w14:paraId="189BA472" w14:textId="5ADFC2EB" w:rsidR="00CA60D7" w:rsidRPr="00EC107F" w:rsidRDefault="00571DEE" w:rsidP="00571DEE">
      <w:pPr>
        <w:spacing w:line="240" w:lineRule="auto"/>
        <w:rPr>
          <w:szCs w:val="22"/>
        </w:rPr>
      </w:pPr>
      <w:r w:rsidRPr="00EC107F">
        <w:rPr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</w:t>
      </w:r>
    </w:p>
    <w:p w14:paraId="26007146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7A064552" w14:textId="55459BEB" w:rsidR="00CA60D7" w:rsidRPr="00EC107F" w:rsidRDefault="00571DEE" w:rsidP="00571DEE">
      <w:pPr>
        <w:pStyle w:val="Style1"/>
      </w:pPr>
      <w:r w:rsidRPr="00EC107F">
        <w:t>3.7</w:t>
      </w:r>
      <w:r w:rsidRPr="00EC107F">
        <w:tab/>
        <w:t>Použití v průběhu březosti, laktace nebo snášky</w:t>
      </w:r>
    </w:p>
    <w:p w14:paraId="5D9E5226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1DC26348" w14:textId="77777777" w:rsidR="009049B5" w:rsidRPr="00E93E63" w:rsidRDefault="009049B5" w:rsidP="00571DEE">
      <w:pPr>
        <w:spacing w:line="240" w:lineRule="auto"/>
        <w:rPr>
          <w:u w:val="single"/>
        </w:rPr>
      </w:pPr>
      <w:r w:rsidRPr="00EC107F">
        <w:rPr>
          <w:szCs w:val="22"/>
          <w:u w:val="single"/>
        </w:rPr>
        <w:t>Laktace</w:t>
      </w:r>
      <w:r w:rsidRPr="00E93E63">
        <w:rPr>
          <w:u w:val="single"/>
        </w:rPr>
        <w:t>:</w:t>
      </w:r>
    </w:p>
    <w:p w14:paraId="45679513" w14:textId="6A7B6B72" w:rsidR="00CA60D7" w:rsidRPr="00EC107F" w:rsidRDefault="009049B5" w:rsidP="00571DEE">
      <w:pPr>
        <w:spacing w:line="240" w:lineRule="auto"/>
        <w:rPr>
          <w:szCs w:val="22"/>
        </w:rPr>
      </w:pPr>
      <w:r w:rsidRPr="00EC107F">
        <w:rPr>
          <w:szCs w:val="22"/>
        </w:rPr>
        <w:t>Veterinární léčivý p</w:t>
      </w:r>
      <w:r w:rsidR="00571DEE" w:rsidRPr="00EC107F">
        <w:rPr>
          <w:szCs w:val="22"/>
        </w:rPr>
        <w:t>řípravek je určen pro použití v období laktace.</w:t>
      </w:r>
    </w:p>
    <w:p w14:paraId="31CEE487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51EABA90" w14:textId="7A4700DE" w:rsidR="00CA60D7" w:rsidRPr="00EC107F" w:rsidRDefault="00571DEE" w:rsidP="00571DEE">
      <w:pPr>
        <w:pStyle w:val="Style1"/>
      </w:pPr>
      <w:r w:rsidRPr="00EC107F">
        <w:t>3.8</w:t>
      </w:r>
      <w:r w:rsidRPr="00EC107F">
        <w:tab/>
        <w:t>Interakce s jinými léčivými přípravky a další formy interakce</w:t>
      </w:r>
    </w:p>
    <w:p w14:paraId="3503FBBB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74DD1178" w14:textId="77777777" w:rsidR="00CA60D7" w:rsidRPr="00EC107F" w:rsidRDefault="00571DEE" w:rsidP="00571DEE">
      <w:pPr>
        <w:tabs>
          <w:tab w:val="clear" w:pos="567"/>
        </w:tabs>
        <w:spacing w:line="240" w:lineRule="auto"/>
        <w:rPr>
          <w:szCs w:val="22"/>
        </w:rPr>
      </w:pPr>
      <w:r w:rsidRPr="00EC107F">
        <w:rPr>
          <w:szCs w:val="22"/>
        </w:rPr>
        <w:t>Nejsou známy.</w:t>
      </w:r>
    </w:p>
    <w:p w14:paraId="5FF40EF2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3DFC3C82" w14:textId="46C1C648" w:rsidR="00CA60D7" w:rsidRPr="00EC107F" w:rsidRDefault="00571DEE" w:rsidP="00571DEE">
      <w:pPr>
        <w:pStyle w:val="Style1"/>
      </w:pPr>
      <w:r w:rsidRPr="00EC107F">
        <w:t>3.9</w:t>
      </w:r>
      <w:r w:rsidRPr="00EC107F">
        <w:tab/>
        <w:t>Cesty podání a dávkování</w:t>
      </w:r>
    </w:p>
    <w:p w14:paraId="10AA256A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6A6A1358" w14:textId="12E0A2B5" w:rsidR="009049B5" w:rsidRPr="00EC107F" w:rsidRDefault="00E86D58" w:rsidP="00571DEE">
      <w:pPr>
        <w:spacing w:line="240" w:lineRule="auto"/>
        <w:rPr>
          <w:szCs w:val="22"/>
        </w:rPr>
      </w:pPr>
      <w:proofErr w:type="spellStart"/>
      <w:r w:rsidRPr="00E93E63">
        <w:rPr>
          <w:szCs w:val="22"/>
        </w:rPr>
        <w:t>Intramamárn</w:t>
      </w:r>
      <w:r w:rsidR="002D1BCA" w:rsidRPr="00EC107F">
        <w:rPr>
          <w:szCs w:val="22"/>
        </w:rPr>
        <w:t>í</w:t>
      </w:r>
      <w:proofErr w:type="spellEnd"/>
      <w:r w:rsidR="002D1BCA" w:rsidRPr="00EC107F">
        <w:rPr>
          <w:szCs w:val="22"/>
        </w:rPr>
        <w:t xml:space="preserve"> podání</w:t>
      </w:r>
      <w:r w:rsidRPr="00E93E63">
        <w:rPr>
          <w:szCs w:val="22"/>
        </w:rPr>
        <w:t>.</w:t>
      </w:r>
    </w:p>
    <w:p w14:paraId="02750DE2" w14:textId="77777777" w:rsidR="009049B5" w:rsidRPr="00EC107F" w:rsidRDefault="009049B5" w:rsidP="00571DEE">
      <w:pPr>
        <w:spacing w:line="240" w:lineRule="auto"/>
        <w:rPr>
          <w:szCs w:val="22"/>
        </w:rPr>
      </w:pPr>
    </w:p>
    <w:p w14:paraId="5FA254B1" w14:textId="77777777" w:rsidR="00CA60D7" w:rsidRPr="00EC107F" w:rsidRDefault="00571DEE" w:rsidP="00571DEE">
      <w:pPr>
        <w:spacing w:line="240" w:lineRule="auto"/>
        <w:rPr>
          <w:szCs w:val="22"/>
        </w:rPr>
      </w:pPr>
      <w:r w:rsidRPr="00EC107F">
        <w:rPr>
          <w:szCs w:val="22"/>
        </w:rPr>
        <w:t>Postupně 4 aplikátory na každou infikovanou čtvrť. Jeden aplikátor každých 12 hodin.</w:t>
      </w:r>
    </w:p>
    <w:p w14:paraId="7197EFFA" w14:textId="77777777" w:rsidR="00CA60D7" w:rsidRPr="00EC107F" w:rsidRDefault="00CA60D7" w:rsidP="00571DEE">
      <w:pPr>
        <w:spacing w:line="240" w:lineRule="auto"/>
        <w:jc w:val="both"/>
        <w:rPr>
          <w:szCs w:val="22"/>
        </w:rPr>
      </w:pPr>
    </w:p>
    <w:p w14:paraId="6CDE4D51" w14:textId="77777777" w:rsidR="00CA60D7" w:rsidRPr="00EC107F" w:rsidRDefault="00571DEE" w:rsidP="00571DEE">
      <w:pPr>
        <w:tabs>
          <w:tab w:val="left" w:pos="0"/>
        </w:tabs>
        <w:spacing w:line="240" w:lineRule="auto"/>
        <w:jc w:val="both"/>
        <w:rPr>
          <w:szCs w:val="22"/>
        </w:rPr>
      </w:pPr>
      <w:r w:rsidRPr="00EC107F">
        <w:rPr>
          <w:szCs w:val="22"/>
        </w:rPr>
        <w:t xml:space="preserve">Před aplikací se postižená čtvrť mléčné žlázy úplně vydojí, struk se důkladně očistí a vydezinfikuje. </w:t>
      </w:r>
    </w:p>
    <w:p w14:paraId="2749143D" w14:textId="77777777" w:rsidR="00CA60D7" w:rsidRPr="00EC107F" w:rsidRDefault="00CA60D7" w:rsidP="00571DEE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399A2CB8" w14:textId="77777777" w:rsidR="00CA60D7" w:rsidRPr="00EC107F" w:rsidRDefault="00571DEE" w:rsidP="00571DEE">
      <w:pPr>
        <w:tabs>
          <w:tab w:val="left" w:pos="0"/>
        </w:tabs>
        <w:spacing w:line="240" w:lineRule="auto"/>
        <w:jc w:val="both"/>
        <w:rPr>
          <w:szCs w:val="22"/>
        </w:rPr>
      </w:pPr>
      <w:r w:rsidRPr="00EC107F">
        <w:rPr>
          <w:szCs w:val="22"/>
        </w:rPr>
        <w:t xml:space="preserve">Léčba po kratší dobu, než se doporučuje, může podporovat u bakterií vznik rezistence, a proto je třeba přípravek používat dle výše uvedeného schématu. </w:t>
      </w:r>
    </w:p>
    <w:p w14:paraId="6AB27066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37178C04" w14:textId="51E4B43E" w:rsidR="00CA60D7" w:rsidRPr="00EC107F" w:rsidRDefault="00571DEE" w:rsidP="00571DEE">
      <w:pPr>
        <w:pStyle w:val="Style1"/>
      </w:pPr>
      <w:r w:rsidRPr="00EC107F">
        <w:t>3.10</w:t>
      </w:r>
      <w:r w:rsidRPr="00EC107F">
        <w:tab/>
        <w:t xml:space="preserve">Příznaky předávkování (a kde je relevantní, první pomoc a antidota) </w:t>
      </w:r>
    </w:p>
    <w:p w14:paraId="1D6343E8" w14:textId="77777777" w:rsidR="00CA60D7" w:rsidRPr="00EC107F" w:rsidRDefault="00CA60D7" w:rsidP="00571DEE">
      <w:pPr>
        <w:spacing w:line="240" w:lineRule="auto"/>
        <w:jc w:val="both"/>
        <w:rPr>
          <w:szCs w:val="22"/>
        </w:rPr>
      </w:pPr>
    </w:p>
    <w:p w14:paraId="0430D594" w14:textId="77777777" w:rsidR="00CA60D7" w:rsidRPr="00EC107F" w:rsidRDefault="00571DEE" w:rsidP="00571DEE">
      <w:pPr>
        <w:spacing w:line="240" w:lineRule="auto"/>
        <w:jc w:val="both"/>
        <w:rPr>
          <w:szCs w:val="22"/>
        </w:rPr>
      </w:pPr>
      <w:r w:rsidRPr="00EC107F">
        <w:rPr>
          <w:szCs w:val="22"/>
        </w:rPr>
        <w:lastRenderedPageBreak/>
        <w:t>Neuplatňuje se.</w:t>
      </w:r>
    </w:p>
    <w:p w14:paraId="607E4E61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6891C13E" w14:textId="77777777" w:rsidR="00CA60D7" w:rsidRPr="00EC107F" w:rsidRDefault="00571DEE" w:rsidP="00571DEE">
      <w:pPr>
        <w:pStyle w:val="Style1"/>
      </w:pPr>
      <w:r w:rsidRPr="00EC107F">
        <w:t>3.11</w:t>
      </w:r>
      <w:r w:rsidRPr="00EC107F">
        <w:tab/>
        <w:t xml:space="preserve">Zvláštní omezení pro použití a zvláštní podmínky pro použití, včetně omezení používání antimikrobních a </w:t>
      </w:r>
      <w:proofErr w:type="spellStart"/>
      <w:r w:rsidRPr="00EC107F">
        <w:t>antiparazitárních</w:t>
      </w:r>
      <w:proofErr w:type="spellEnd"/>
      <w:r w:rsidRPr="00EC107F">
        <w:t xml:space="preserve"> veterinárních léčivých přípravků, za účelem snížení rizika rozvoje rezistence</w:t>
      </w:r>
    </w:p>
    <w:p w14:paraId="3AAF57D7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73C9B7A8" w14:textId="77777777" w:rsidR="00CA60D7" w:rsidRPr="00EC107F" w:rsidRDefault="00571DEE" w:rsidP="00571DEE">
      <w:pPr>
        <w:tabs>
          <w:tab w:val="clear" w:pos="567"/>
        </w:tabs>
        <w:spacing w:line="240" w:lineRule="auto"/>
        <w:rPr>
          <w:szCs w:val="22"/>
        </w:rPr>
      </w:pPr>
      <w:r w:rsidRPr="00EC107F">
        <w:rPr>
          <w:szCs w:val="22"/>
        </w:rPr>
        <w:t>Neuplatňuje se.</w:t>
      </w:r>
    </w:p>
    <w:p w14:paraId="1C979F18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7FBF2751" w14:textId="77777777" w:rsidR="00CA60D7" w:rsidRPr="00EC107F" w:rsidRDefault="00571DEE" w:rsidP="00571DEE">
      <w:pPr>
        <w:pStyle w:val="Style1"/>
      </w:pPr>
      <w:r w:rsidRPr="00EC107F">
        <w:t>3.12</w:t>
      </w:r>
      <w:r w:rsidRPr="00EC107F">
        <w:tab/>
        <w:t>Ochranné lhůty</w:t>
      </w:r>
    </w:p>
    <w:p w14:paraId="63545931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35EE95ED" w14:textId="2D35467C" w:rsidR="00CA60D7" w:rsidRPr="00EC107F" w:rsidRDefault="00571DEE" w:rsidP="00571DEE">
      <w:pPr>
        <w:spacing w:line="240" w:lineRule="auto"/>
        <w:jc w:val="both"/>
        <w:rPr>
          <w:szCs w:val="22"/>
        </w:rPr>
      </w:pPr>
      <w:r w:rsidRPr="00EC107F">
        <w:rPr>
          <w:szCs w:val="22"/>
        </w:rPr>
        <w:t>Maso: 4 dn</w:t>
      </w:r>
      <w:r w:rsidR="00773D0A" w:rsidRPr="00EC107F">
        <w:rPr>
          <w:szCs w:val="22"/>
        </w:rPr>
        <w:t>y</w:t>
      </w:r>
      <w:r w:rsidRPr="00EC107F">
        <w:rPr>
          <w:szCs w:val="22"/>
        </w:rPr>
        <w:t>.</w:t>
      </w:r>
    </w:p>
    <w:p w14:paraId="1CFA78DF" w14:textId="77777777" w:rsidR="00CA60D7" w:rsidRPr="00EC107F" w:rsidRDefault="00571DEE" w:rsidP="00571DEE">
      <w:pPr>
        <w:spacing w:line="240" w:lineRule="auto"/>
        <w:rPr>
          <w:szCs w:val="22"/>
        </w:rPr>
      </w:pPr>
      <w:r w:rsidRPr="00EC107F">
        <w:rPr>
          <w:szCs w:val="22"/>
        </w:rPr>
        <w:t>Mléko: 48 hodin.</w:t>
      </w:r>
    </w:p>
    <w:p w14:paraId="4FFBB956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0701E62C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6EE7D5DC" w14:textId="2AA9C215" w:rsidR="00CA60D7" w:rsidRPr="00EC107F" w:rsidRDefault="00571DEE" w:rsidP="00D05B14">
      <w:pPr>
        <w:pStyle w:val="Style1"/>
        <w:keepNext/>
      </w:pPr>
      <w:r w:rsidRPr="00EC107F">
        <w:t>4.</w:t>
      </w:r>
      <w:r w:rsidRPr="00EC107F">
        <w:tab/>
        <w:t>FARMAKOLOGICKÉ INFORMACE</w:t>
      </w:r>
    </w:p>
    <w:p w14:paraId="4F045BBF" w14:textId="77777777" w:rsidR="00CA60D7" w:rsidRPr="00EC107F" w:rsidRDefault="00CA60D7" w:rsidP="00D05B1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5408DEB" w14:textId="77777777" w:rsidR="00CA60D7" w:rsidRPr="00EC107F" w:rsidRDefault="00571DEE" w:rsidP="00571DEE">
      <w:pPr>
        <w:pStyle w:val="Style1"/>
      </w:pPr>
      <w:r w:rsidRPr="00EC107F">
        <w:t>4.1</w:t>
      </w:r>
      <w:r w:rsidRPr="00EC107F">
        <w:tab/>
      </w:r>
      <w:proofErr w:type="spellStart"/>
      <w:r w:rsidRPr="00EC107F">
        <w:t>ATCvet</w:t>
      </w:r>
      <w:proofErr w:type="spellEnd"/>
      <w:r w:rsidRPr="00EC107F">
        <w:t xml:space="preserve"> kód: </w:t>
      </w:r>
      <w:r w:rsidRPr="00EC107F">
        <w:rPr>
          <w:b w:val="0"/>
          <w:bCs/>
        </w:rPr>
        <w:t>QJ51DB01</w:t>
      </w:r>
    </w:p>
    <w:p w14:paraId="22B91C22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327919D9" w14:textId="77777777" w:rsidR="00CA60D7" w:rsidRPr="00EC107F" w:rsidRDefault="00571DEE" w:rsidP="00571DEE">
      <w:pPr>
        <w:pStyle w:val="Style1"/>
      </w:pPr>
      <w:r w:rsidRPr="00EC107F">
        <w:t>4.2</w:t>
      </w:r>
      <w:r w:rsidRPr="00EC107F">
        <w:tab/>
        <w:t>Farmakodynamika</w:t>
      </w:r>
    </w:p>
    <w:p w14:paraId="6AE156F9" w14:textId="77777777" w:rsidR="00CA60D7" w:rsidRPr="00EC107F" w:rsidRDefault="00CA60D7" w:rsidP="00571DEE">
      <w:pPr>
        <w:pStyle w:val="Style1"/>
      </w:pPr>
    </w:p>
    <w:p w14:paraId="61D270B0" w14:textId="2713C3EE" w:rsidR="00CA60D7" w:rsidRPr="00EC107F" w:rsidRDefault="00571DEE" w:rsidP="00571DEE">
      <w:pPr>
        <w:spacing w:line="240" w:lineRule="auto"/>
        <w:rPr>
          <w:szCs w:val="22"/>
        </w:rPr>
      </w:pPr>
      <w:proofErr w:type="spellStart"/>
      <w:r w:rsidRPr="00EC107F">
        <w:rPr>
          <w:szCs w:val="22"/>
        </w:rPr>
        <w:t>Rilexine</w:t>
      </w:r>
      <w:proofErr w:type="spellEnd"/>
      <w:r w:rsidRPr="00EC107F">
        <w:rPr>
          <w:szCs w:val="22"/>
        </w:rPr>
        <w:t xml:space="preserve"> 200 je anti</w:t>
      </w:r>
      <w:r w:rsidR="00CE42A9" w:rsidRPr="00EC107F">
        <w:rPr>
          <w:szCs w:val="22"/>
        </w:rPr>
        <w:t>biotická</w:t>
      </w:r>
      <w:r w:rsidRPr="00EC107F">
        <w:rPr>
          <w:szCs w:val="22"/>
        </w:rPr>
        <w:t xml:space="preserve"> suspenze k </w:t>
      </w:r>
      <w:proofErr w:type="spellStart"/>
      <w:r w:rsidRPr="00EC107F">
        <w:rPr>
          <w:szCs w:val="22"/>
        </w:rPr>
        <w:t>intramamárnímu</w:t>
      </w:r>
      <w:proofErr w:type="spellEnd"/>
      <w:r w:rsidRPr="00EC107F">
        <w:rPr>
          <w:szCs w:val="22"/>
        </w:rPr>
        <w:t xml:space="preserve"> podání u </w:t>
      </w:r>
      <w:proofErr w:type="spellStart"/>
      <w:r w:rsidRPr="00EC107F">
        <w:rPr>
          <w:szCs w:val="22"/>
        </w:rPr>
        <w:t>laktujících</w:t>
      </w:r>
      <w:proofErr w:type="spellEnd"/>
      <w:r w:rsidRPr="00EC107F">
        <w:rPr>
          <w:szCs w:val="22"/>
        </w:rPr>
        <w:t xml:space="preserve"> krav</w:t>
      </w:r>
      <w:r w:rsidR="00CE42A9" w:rsidRPr="00EC107F">
        <w:rPr>
          <w:szCs w:val="22"/>
        </w:rPr>
        <w:t>.</w:t>
      </w:r>
      <w:r w:rsidRPr="00EC107F">
        <w:rPr>
          <w:szCs w:val="22"/>
        </w:rPr>
        <w:t xml:space="preserve"> která obsahuje cefalexin v nedráždivé suspenzi umožňující rychlé rozptýlení v mléku.</w:t>
      </w:r>
    </w:p>
    <w:p w14:paraId="6139EEDF" w14:textId="6D985B03" w:rsidR="00CA60D7" w:rsidRPr="00EC107F" w:rsidRDefault="00571DEE" w:rsidP="00571DEE">
      <w:pPr>
        <w:pStyle w:val="INTERLIGNE125"/>
        <w:keepLines w:val="0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cs-CZ"/>
        </w:rPr>
      </w:pPr>
      <w:r w:rsidRPr="00EC107F">
        <w:rPr>
          <w:rFonts w:ascii="Times New Roman" w:hAnsi="Times New Roman" w:cs="Times New Roman"/>
          <w:sz w:val="22"/>
          <w:szCs w:val="22"/>
          <w:lang w:val="cs-CZ"/>
        </w:rPr>
        <w:t xml:space="preserve">Cefalexin je </w:t>
      </w:r>
      <w:proofErr w:type="spellStart"/>
      <w:r w:rsidRPr="00EC107F">
        <w:rPr>
          <w:rFonts w:ascii="Times New Roman" w:hAnsi="Times New Roman" w:cs="Times New Roman"/>
          <w:sz w:val="22"/>
          <w:szCs w:val="22"/>
          <w:lang w:val="cs-CZ"/>
        </w:rPr>
        <w:t>semisyntetické</w:t>
      </w:r>
      <w:proofErr w:type="spellEnd"/>
      <w:r w:rsidRPr="00EC107F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EC107F">
        <w:rPr>
          <w:rFonts w:ascii="Times New Roman" w:hAnsi="Times New Roman" w:cs="Times New Roman"/>
          <w:sz w:val="22"/>
          <w:szCs w:val="22"/>
          <w:lang w:val="cs-CZ"/>
        </w:rPr>
        <w:t xml:space="preserve">beta </w:t>
      </w:r>
      <w:r w:rsidRPr="00EC107F">
        <w:rPr>
          <w:rFonts w:ascii="Times New Roman" w:hAnsi="Times New Roman" w:cs="Times New Roman"/>
          <w:sz w:val="22"/>
          <w:szCs w:val="22"/>
          <w:lang w:val="cs-CZ"/>
        </w:rPr>
        <w:t>- </w:t>
      </w:r>
      <w:proofErr w:type="spellStart"/>
      <w:r w:rsidRPr="00EC107F">
        <w:rPr>
          <w:rFonts w:ascii="Times New Roman" w:hAnsi="Times New Roman" w:cs="Times New Roman"/>
          <w:sz w:val="22"/>
          <w:szCs w:val="22"/>
          <w:lang w:val="cs-CZ"/>
        </w:rPr>
        <w:t>laktamové</w:t>
      </w:r>
      <w:proofErr w:type="spellEnd"/>
      <w:r w:rsidRPr="00EC107F">
        <w:rPr>
          <w:rFonts w:ascii="Times New Roman" w:hAnsi="Times New Roman" w:cs="Times New Roman"/>
          <w:sz w:val="22"/>
          <w:szCs w:val="22"/>
          <w:lang w:val="cs-CZ"/>
        </w:rPr>
        <w:t xml:space="preserve"> antibiotikum ze skupiny cefalosporinů s baktericidním účinkem způsobeným inhibicí syntézy buněčné stěny bakterií. </w:t>
      </w:r>
    </w:p>
    <w:p w14:paraId="068DC02D" w14:textId="77777777" w:rsidR="00CA60D7" w:rsidRPr="00EC107F" w:rsidRDefault="00571DEE" w:rsidP="00571DEE">
      <w:pPr>
        <w:pStyle w:val="INTERLIGNE125"/>
        <w:keepLines w:val="0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cs-CZ"/>
        </w:rPr>
      </w:pPr>
      <w:r w:rsidRPr="00EC107F">
        <w:rPr>
          <w:rFonts w:ascii="Times New Roman" w:hAnsi="Times New Roman" w:cs="Times New Roman"/>
          <w:sz w:val="22"/>
          <w:szCs w:val="22"/>
          <w:lang w:val="cs-CZ"/>
        </w:rPr>
        <w:t>Má širokospektrální baktericidní účinek proti citlivým bakteriím, které jsou běžně izolovány z vemene skotu.</w:t>
      </w:r>
    </w:p>
    <w:p w14:paraId="071225B0" w14:textId="77777777" w:rsidR="00CA60D7" w:rsidRPr="00EC107F" w:rsidRDefault="00CA60D7" w:rsidP="00571DEE">
      <w:pPr>
        <w:pStyle w:val="INTERLIGNE125"/>
        <w:keepLines w:val="0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cs-CZ"/>
        </w:rPr>
      </w:pPr>
    </w:p>
    <w:p w14:paraId="5E3C9246" w14:textId="77777777" w:rsidR="00CA60D7" w:rsidRPr="00EC107F" w:rsidRDefault="00571DEE" w:rsidP="00571DEE">
      <w:pPr>
        <w:pStyle w:val="INTERLIGNE125"/>
        <w:keepLines w:val="0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cs-CZ"/>
        </w:rPr>
      </w:pPr>
      <w:r w:rsidRPr="00EC107F">
        <w:rPr>
          <w:rFonts w:ascii="Times New Roman" w:hAnsi="Times New Roman" w:cs="Times New Roman"/>
          <w:sz w:val="22"/>
          <w:szCs w:val="22"/>
          <w:lang w:val="cs-CZ"/>
        </w:rPr>
        <w:t xml:space="preserve">Cefalexin je, </w:t>
      </w:r>
      <w:r w:rsidRPr="00EC107F">
        <w:rPr>
          <w:rFonts w:ascii="Times New Roman" w:hAnsi="Times New Roman" w:cs="Times New Roman"/>
          <w:i/>
          <w:iCs/>
          <w:sz w:val="22"/>
          <w:szCs w:val="22"/>
          <w:lang w:val="cs-CZ"/>
        </w:rPr>
        <w:t>in vitro</w:t>
      </w:r>
      <w:r w:rsidRPr="00EC107F">
        <w:rPr>
          <w:rFonts w:ascii="Times New Roman" w:hAnsi="Times New Roman" w:cs="Times New Roman"/>
          <w:sz w:val="22"/>
          <w:szCs w:val="22"/>
          <w:lang w:val="cs-CZ"/>
        </w:rPr>
        <w:t xml:space="preserve">, účinný proti široké škále klinicky významných bakterií včetně následujících </w:t>
      </w:r>
      <w:r w:rsidR="00CE42A9" w:rsidRPr="00EC107F">
        <w:rPr>
          <w:rFonts w:ascii="Times New Roman" w:hAnsi="Times New Roman" w:cs="Times New Roman"/>
          <w:sz w:val="22"/>
          <w:szCs w:val="22"/>
          <w:lang w:val="cs-CZ"/>
        </w:rPr>
        <w:t>mikro</w:t>
      </w:r>
      <w:r w:rsidRPr="00EC107F">
        <w:rPr>
          <w:rFonts w:ascii="Times New Roman" w:hAnsi="Times New Roman" w:cs="Times New Roman"/>
          <w:sz w:val="22"/>
          <w:szCs w:val="22"/>
          <w:lang w:val="cs-CZ"/>
        </w:rPr>
        <w:t>organizmů, které jsou často spojovány s mastitidami skotu:</w:t>
      </w:r>
    </w:p>
    <w:p w14:paraId="54C47041" w14:textId="77777777" w:rsidR="00CA60D7" w:rsidRPr="00EC107F" w:rsidRDefault="00571DEE" w:rsidP="00571DEE">
      <w:pPr>
        <w:pStyle w:val="INTERLIGNE125"/>
        <w:keepLines w:val="0"/>
        <w:numPr>
          <w:ilvl w:val="0"/>
          <w:numId w:val="41"/>
        </w:numPr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cs-CZ"/>
        </w:rPr>
      </w:pPr>
      <w:r w:rsidRPr="00EC107F">
        <w:rPr>
          <w:rFonts w:ascii="Times New Roman" w:hAnsi="Times New Roman" w:cs="Times New Roman"/>
          <w:sz w:val="22"/>
          <w:szCs w:val="22"/>
          <w:lang w:val="cs-CZ"/>
        </w:rPr>
        <w:t>Stafylokoky (včetně penicilinázu produkujících kmenů)</w:t>
      </w:r>
    </w:p>
    <w:p w14:paraId="0F134BE0" w14:textId="08E8623A" w:rsidR="00CA60D7" w:rsidRPr="00EC107F" w:rsidRDefault="00571DEE" w:rsidP="00571DEE">
      <w:pPr>
        <w:pStyle w:val="INTERLIGNE125"/>
        <w:keepLines w:val="0"/>
        <w:numPr>
          <w:ilvl w:val="0"/>
          <w:numId w:val="41"/>
        </w:numPr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cs-CZ"/>
        </w:rPr>
      </w:pPr>
      <w:r w:rsidRPr="00EC107F">
        <w:rPr>
          <w:rFonts w:ascii="Times New Roman" w:hAnsi="Times New Roman" w:cs="Times New Roman"/>
          <w:sz w:val="22"/>
          <w:szCs w:val="22"/>
          <w:lang w:val="cs-CZ"/>
        </w:rPr>
        <w:t>Streptokoky (včetně</w:t>
      </w:r>
      <w:r w:rsidRPr="00EC107F">
        <w:rPr>
          <w:rFonts w:ascii="Times New Roman" w:hAnsi="Times New Roman" w:cs="Times New Roman"/>
          <w:i/>
          <w:iCs/>
          <w:sz w:val="22"/>
          <w:szCs w:val="22"/>
          <w:lang w:val="cs-CZ"/>
        </w:rPr>
        <w:t xml:space="preserve"> S. uberis, S. dysgalactiae, S. agalactiae</w:t>
      </w:r>
      <w:r w:rsidRPr="00EC107F">
        <w:rPr>
          <w:rFonts w:ascii="Times New Roman" w:hAnsi="Times New Roman" w:cs="Times New Roman"/>
          <w:sz w:val="22"/>
          <w:szCs w:val="22"/>
          <w:lang w:val="cs-CZ"/>
        </w:rPr>
        <w:t>)</w:t>
      </w:r>
    </w:p>
    <w:p w14:paraId="7252972E" w14:textId="560D0058" w:rsidR="00CA60D7" w:rsidRPr="00EC107F" w:rsidRDefault="00CE42A9" w:rsidP="00571DEE">
      <w:pPr>
        <w:pStyle w:val="INTERLIGNE125"/>
        <w:keepLines w:val="0"/>
        <w:numPr>
          <w:ilvl w:val="0"/>
          <w:numId w:val="41"/>
        </w:numPr>
        <w:spacing w:line="240" w:lineRule="auto"/>
        <w:jc w:val="left"/>
        <w:rPr>
          <w:rFonts w:ascii="Times New Roman" w:hAnsi="Times New Roman" w:cs="Times New Roman"/>
          <w:iCs/>
          <w:sz w:val="22"/>
          <w:szCs w:val="22"/>
          <w:lang w:val="cs-CZ"/>
        </w:rPr>
      </w:pPr>
      <w:proofErr w:type="spellStart"/>
      <w:r w:rsidRPr="00EC107F">
        <w:rPr>
          <w:rFonts w:ascii="Times New Roman" w:hAnsi="Times New Roman" w:cs="Times New Roman"/>
          <w:i/>
          <w:iCs/>
          <w:sz w:val="22"/>
          <w:szCs w:val="22"/>
          <w:lang w:val="cs-CZ"/>
        </w:rPr>
        <w:t>Trueperella</w:t>
      </w:r>
      <w:proofErr w:type="spellEnd"/>
      <w:r w:rsidR="00571DEE" w:rsidRPr="00EC107F">
        <w:rPr>
          <w:rFonts w:ascii="Times New Roman" w:hAnsi="Times New Roman" w:cs="Times New Roman"/>
          <w:i/>
          <w:iCs/>
          <w:sz w:val="22"/>
          <w:szCs w:val="22"/>
          <w:lang w:val="cs-CZ"/>
        </w:rPr>
        <w:t>. pyogenes</w:t>
      </w:r>
      <w:r w:rsidR="00571DEE" w:rsidRPr="00EC107F">
        <w:rPr>
          <w:rFonts w:ascii="Times New Roman" w:hAnsi="Times New Roman" w:cs="Times New Roman"/>
          <w:sz w:val="22"/>
          <w:szCs w:val="22"/>
          <w:lang w:val="cs-CZ"/>
        </w:rPr>
        <w:t xml:space="preserve"> a další minoritní zástupci </w:t>
      </w:r>
      <w:r w:rsidR="00571DEE" w:rsidRPr="00EC107F">
        <w:rPr>
          <w:rFonts w:ascii="Times New Roman" w:hAnsi="Times New Roman" w:cs="Times New Roman"/>
          <w:i/>
          <w:iCs/>
          <w:sz w:val="22"/>
          <w:szCs w:val="22"/>
          <w:lang w:val="cs-CZ"/>
        </w:rPr>
        <w:t xml:space="preserve">Corynebacterium </w:t>
      </w:r>
      <w:r w:rsidR="00571DEE" w:rsidRPr="00EC107F">
        <w:rPr>
          <w:rFonts w:ascii="Times New Roman" w:hAnsi="Times New Roman" w:cs="Times New Roman"/>
          <w:iCs/>
          <w:sz w:val="22"/>
          <w:szCs w:val="22"/>
          <w:lang w:val="cs-CZ"/>
        </w:rPr>
        <w:t>spp.</w:t>
      </w:r>
    </w:p>
    <w:p w14:paraId="657EB280" w14:textId="77777777" w:rsidR="00CA60D7" w:rsidRPr="00EC107F" w:rsidRDefault="00571DEE" w:rsidP="00571DEE">
      <w:pPr>
        <w:pStyle w:val="INTERLIGNE125"/>
        <w:keepLines w:val="0"/>
        <w:numPr>
          <w:ilvl w:val="0"/>
          <w:numId w:val="41"/>
        </w:numPr>
        <w:spacing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  <w:lang w:val="cs-CZ"/>
        </w:rPr>
      </w:pPr>
      <w:r w:rsidRPr="00EC107F">
        <w:rPr>
          <w:rFonts w:ascii="Times New Roman" w:hAnsi="Times New Roman" w:cs="Times New Roman"/>
          <w:i/>
          <w:iCs/>
          <w:sz w:val="22"/>
          <w:szCs w:val="22"/>
          <w:lang w:val="cs-CZ"/>
        </w:rPr>
        <w:t xml:space="preserve">Escherichia coli </w:t>
      </w:r>
      <w:r w:rsidRPr="00EC107F">
        <w:rPr>
          <w:rFonts w:ascii="Times New Roman" w:hAnsi="Times New Roman" w:cs="Times New Roman"/>
          <w:iCs/>
          <w:sz w:val="22"/>
          <w:szCs w:val="22"/>
          <w:lang w:val="cs-CZ"/>
        </w:rPr>
        <w:t>(citlivé kmeny)</w:t>
      </w:r>
    </w:p>
    <w:p w14:paraId="4892BCD4" w14:textId="77777777" w:rsidR="00CA60D7" w:rsidRPr="00EC107F" w:rsidRDefault="00571DEE" w:rsidP="00571DEE">
      <w:pPr>
        <w:pStyle w:val="INTERLIGNE125"/>
        <w:keepLines w:val="0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cs-CZ"/>
        </w:rPr>
      </w:pPr>
      <w:r w:rsidRPr="00EC107F">
        <w:rPr>
          <w:rFonts w:ascii="Times New Roman" w:hAnsi="Times New Roman" w:cs="Times New Roman"/>
          <w:sz w:val="22"/>
          <w:szCs w:val="22"/>
          <w:lang w:val="cs-CZ"/>
        </w:rPr>
        <w:t xml:space="preserve">Navíc je účinný </w:t>
      </w:r>
      <w:r w:rsidRPr="00EC107F">
        <w:rPr>
          <w:rFonts w:ascii="Times New Roman" w:hAnsi="Times New Roman" w:cs="Times New Roman"/>
          <w:i/>
          <w:iCs/>
          <w:sz w:val="22"/>
          <w:szCs w:val="22"/>
          <w:lang w:val="cs-CZ"/>
        </w:rPr>
        <w:t>in vitro</w:t>
      </w:r>
      <w:r w:rsidRPr="00EC107F">
        <w:rPr>
          <w:rFonts w:ascii="Times New Roman" w:hAnsi="Times New Roman" w:cs="Times New Roman"/>
          <w:sz w:val="22"/>
          <w:szCs w:val="22"/>
          <w:lang w:val="cs-CZ"/>
        </w:rPr>
        <w:t xml:space="preserve"> proti méně běžným patogenům jako:</w:t>
      </w:r>
    </w:p>
    <w:p w14:paraId="4062F32C" w14:textId="77777777" w:rsidR="00CA60D7" w:rsidRPr="00EC107F" w:rsidRDefault="00571DEE" w:rsidP="00571DEE">
      <w:pPr>
        <w:pStyle w:val="INTERLIGNE125"/>
        <w:keepLines w:val="0"/>
        <w:numPr>
          <w:ilvl w:val="0"/>
          <w:numId w:val="42"/>
        </w:numPr>
        <w:spacing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  <w:lang w:val="cs-CZ"/>
        </w:rPr>
      </w:pPr>
      <w:r w:rsidRPr="00EC107F">
        <w:rPr>
          <w:rFonts w:ascii="Times New Roman" w:hAnsi="Times New Roman" w:cs="Times New Roman"/>
          <w:i/>
          <w:iCs/>
          <w:sz w:val="22"/>
          <w:szCs w:val="22"/>
          <w:lang w:val="cs-CZ"/>
        </w:rPr>
        <w:t xml:space="preserve">Pasteurella </w:t>
      </w:r>
      <w:r w:rsidRPr="00EC107F">
        <w:rPr>
          <w:rFonts w:ascii="Times New Roman" w:hAnsi="Times New Roman" w:cs="Times New Roman"/>
          <w:iCs/>
          <w:sz w:val="22"/>
          <w:szCs w:val="22"/>
          <w:lang w:val="cs-CZ"/>
        </w:rPr>
        <w:t>spp</w:t>
      </w:r>
      <w:r w:rsidRPr="00EC107F">
        <w:rPr>
          <w:rFonts w:ascii="Times New Roman" w:hAnsi="Times New Roman" w:cs="Times New Roman"/>
          <w:i/>
          <w:iCs/>
          <w:sz w:val="22"/>
          <w:szCs w:val="22"/>
          <w:lang w:val="cs-CZ"/>
        </w:rPr>
        <w:t xml:space="preserve">. </w:t>
      </w:r>
      <w:r w:rsidRPr="00E66517">
        <w:rPr>
          <w:rFonts w:ascii="Times New Roman" w:hAnsi="Times New Roman" w:cs="Times New Roman"/>
          <w:iCs/>
          <w:sz w:val="22"/>
          <w:szCs w:val="22"/>
          <w:lang w:val="cs-CZ"/>
        </w:rPr>
        <w:t>a</w:t>
      </w:r>
      <w:r w:rsidRPr="00EC107F">
        <w:rPr>
          <w:rFonts w:ascii="Times New Roman" w:hAnsi="Times New Roman" w:cs="Times New Roman"/>
          <w:i/>
          <w:iCs/>
          <w:sz w:val="22"/>
          <w:szCs w:val="22"/>
          <w:lang w:val="cs-CZ"/>
        </w:rPr>
        <w:t xml:space="preserve"> Klebsiella </w:t>
      </w:r>
      <w:r w:rsidRPr="00EC107F">
        <w:rPr>
          <w:rFonts w:ascii="Times New Roman" w:hAnsi="Times New Roman" w:cs="Times New Roman"/>
          <w:iCs/>
          <w:sz w:val="22"/>
          <w:szCs w:val="22"/>
          <w:lang w:val="cs-CZ"/>
        </w:rPr>
        <w:t>spp.</w:t>
      </w:r>
    </w:p>
    <w:p w14:paraId="2F17B6E0" w14:textId="77777777" w:rsidR="00CA60D7" w:rsidRPr="00EC107F" w:rsidRDefault="00CA60D7" w:rsidP="00571DEE">
      <w:pPr>
        <w:pStyle w:val="INTERLIGNE125"/>
        <w:keepLines w:val="0"/>
        <w:spacing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  <w:lang w:val="cs-CZ"/>
        </w:rPr>
      </w:pPr>
    </w:p>
    <w:p w14:paraId="3BCF8BB0" w14:textId="77777777" w:rsidR="00CA60D7" w:rsidRPr="00EC107F" w:rsidRDefault="00571DEE" w:rsidP="00571DEE">
      <w:pPr>
        <w:pStyle w:val="INTERLIGNE125"/>
        <w:keepLines w:val="0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cs-CZ"/>
        </w:rPr>
      </w:pPr>
      <w:r w:rsidRPr="00EC107F">
        <w:rPr>
          <w:rFonts w:ascii="Times New Roman" w:hAnsi="Times New Roman" w:cs="Times New Roman"/>
          <w:sz w:val="22"/>
          <w:szCs w:val="22"/>
          <w:lang w:val="cs-CZ"/>
        </w:rPr>
        <w:t xml:space="preserve">Pro přípravek </w:t>
      </w:r>
      <w:proofErr w:type="spellStart"/>
      <w:r w:rsidRPr="00EC107F">
        <w:rPr>
          <w:rFonts w:ascii="Times New Roman" w:hAnsi="Times New Roman" w:cs="Times New Roman"/>
          <w:sz w:val="22"/>
          <w:szCs w:val="22"/>
          <w:lang w:val="cs-CZ"/>
        </w:rPr>
        <w:t>Rilexine</w:t>
      </w:r>
      <w:proofErr w:type="spellEnd"/>
      <w:r w:rsidRPr="00EC107F">
        <w:rPr>
          <w:rFonts w:ascii="Times New Roman" w:hAnsi="Times New Roman" w:cs="Times New Roman"/>
          <w:sz w:val="22"/>
          <w:szCs w:val="22"/>
          <w:lang w:val="cs-CZ"/>
        </w:rPr>
        <w:t xml:space="preserve"> 200 byla prokázána klinická účinnost při léčbě mastitid u laktujících krav.</w:t>
      </w:r>
    </w:p>
    <w:p w14:paraId="242EB063" w14:textId="77777777" w:rsidR="00CA60D7" w:rsidRPr="00EC107F" w:rsidRDefault="00CA60D7" w:rsidP="00571DEE">
      <w:pPr>
        <w:pStyle w:val="INTERLIGNE125"/>
        <w:keepLines w:val="0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cs-CZ"/>
        </w:rPr>
      </w:pPr>
    </w:p>
    <w:p w14:paraId="2E318A73" w14:textId="77777777" w:rsidR="00CA60D7" w:rsidRPr="00EC107F" w:rsidRDefault="00571DEE" w:rsidP="00571DEE">
      <w:pPr>
        <w:pStyle w:val="INTERLIGNE125"/>
        <w:keepLines w:val="0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cs-CZ"/>
        </w:rPr>
      </w:pPr>
      <w:r w:rsidRPr="00EC107F">
        <w:rPr>
          <w:rFonts w:ascii="Times New Roman" w:hAnsi="Times New Roman" w:cs="Times New Roman"/>
          <w:sz w:val="22"/>
          <w:szCs w:val="22"/>
          <w:lang w:val="cs-CZ"/>
        </w:rPr>
        <w:t>Případy korespondující s úspěšnou léčbou obsahují infekce s následujícími majoritními patogeny:</w:t>
      </w:r>
    </w:p>
    <w:p w14:paraId="3D99385E" w14:textId="77777777" w:rsidR="00CA60D7" w:rsidRPr="00EC107F" w:rsidRDefault="00571DEE" w:rsidP="00571DEE">
      <w:pPr>
        <w:pStyle w:val="INTERLIGNE125"/>
        <w:keepLines w:val="0"/>
        <w:numPr>
          <w:ilvl w:val="0"/>
          <w:numId w:val="41"/>
        </w:numPr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cs-CZ"/>
        </w:rPr>
      </w:pPr>
      <w:r w:rsidRPr="00EC107F">
        <w:rPr>
          <w:rFonts w:ascii="Times New Roman" w:hAnsi="Times New Roman" w:cs="Times New Roman"/>
          <w:sz w:val="22"/>
          <w:szCs w:val="22"/>
          <w:lang w:val="cs-CZ"/>
        </w:rPr>
        <w:t>Stafylokoky (včetně peniciláza produkujících kmenů)</w:t>
      </w:r>
    </w:p>
    <w:p w14:paraId="3A1438C7" w14:textId="77777777" w:rsidR="00CA60D7" w:rsidRPr="00EC107F" w:rsidRDefault="00571DEE" w:rsidP="00571DEE">
      <w:pPr>
        <w:pStyle w:val="INTERLIGNE125"/>
        <w:keepLines w:val="0"/>
        <w:numPr>
          <w:ilvl w:val="0"/>
          <w:numId w:val="41"/>
        </w:numPr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cs-CZ"/>
        </w:rPr>
      </w:pPr>
      <w:r w:rsidRPr="00EC107F">
        <w:rPr>
          <w:rFonts w:ascii="Times New Roman" w:hAnsi="Times New Roman" w:cs="Times New Roman"/>
          <w:sz w:val="22"/>
          <w:szCs w:val="22"/>
          <w:lang w:val="cs-CZ"/>
        </w:rPr>
        <w:t xml:space="preserve">Streptokoky (včetně </w:t>
      </w:r>
      <w:r w:rsidRPr="00EC107F">
        <w:rPr>
          <w:rFonts w:ascii="Times New Roman" w:hAnsi="Times New Roman" w:cs="Times New Roman"/>
          <w:i/>
          <w:iCs/>
          <w:sz w:val="22"/>
          <w:szCs w:val="22"/>
          <w:lang w:val="cs-CZ"/>
        </w:rPr>
        <w:t>S. uberis, S. dysgalactiae, S. agalactiae</w:t>
      </w:r>
      <w:r w:rsidRPr="00EC107F">
        <w:rPr>
          <w:rFonts w:ascii="Times New Roman" w:hAnsi="Times New Roman" w:cs="Times New Roman"/>
          <w:sz w:val="22"/>
          <w:szCs w:val="22"/>
          <w:lang w:val="cs-CZ"/>
        </w:rPr>
        <w:t>)</w:t>
      </w:r>
    </w:p>
    <w:p w14:paraId="34D300D6" w14:textId="77777777" w:rsidR="00CA60D7" w:rsidRPr="00EC107F" w:rsidRDefault="00571DEE" w:rsidP="00571DEE">
      <w:pPr>
        <w:pStyle w:val="INTERLIGNE125"/>
        <w:keepLines w:val="0"/>
        <w:numPr>
          <w:ilvl w:val="0"/>
          <w:numId w:val="41"/>
        </w:numPr>
        <w:spacing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  <w:lang w:val="cs-CZ"/>
        </w:rPr>
      </w:pPr>
      <w:r w:rsidRPr="00EC107F">
        <w:rPr>
          <w:rFonts w:ascii="Times New Roman" w:hAnsi="Times New Roman" w:cs="Times New Roman"/>
          <w:i/>
          <w:iCs/>
          <w:sz w:val="22"/>
          <w:szCs w:val="22"/>
          <w:lang w:val="cs-CZ"/>
        </w:rPr>
        <w:t xml:space="preserve">Escherichia coli </w:t>
      </w:r>
      <w:r w:rsidRPr="00EC107F">
        <w:rPr>
          <w:rFonts w:ascii="Times New Roman" w:hAnsi="Times New Roman" w:cs="Times New Roman"/>
          <w:iCs/>
          <w:sz w:val="22"/>
          <w:szCs w:val="22"/>
          <w:lang w:val="cs-CZ"/>
        </w:rPr>
        <w:t>(citlivé kmeny)</w:t>
      </w:r>
    </w:p>
    <w:p w14:paraId="1DD3E3B7" w14:textId="77777777" w:rsidR="00CA60D7" w:rsidRPr="00EC107F" w:rsidRDefault="00CA60D7" w:rsidP="00571DEE">
      <w:pPr>
        <w:pStyle w:val="INTERLIGNE125"/>
        <w:keepLines w:val="0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cs-CZ"/>
        </w:rPr>
      </w:pPr>
    </w:p>
    <w:p w14:paraId="64D3B261" w14:textId="77777777" w:rsidR="00CA60D7" w:rsidRPr="00EC107F" w:rsidRDefault="00571DEE" w:rsidP="00571DEE">
      <w:pPr>
        <w:pStyle w:val="INTERLIGNE125"/>
        <w:keepLines w:val="0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cs-CZ"/>
        </w:rPr>
      </w:pPr>
      <w:r w:rsidRPr="00EC107F">
        <w:rPr>
          <w:rFonts w:ascii="Times New Roman" w:hAnsi="Times New Roman" w:cs="Times New Roman"/>
          <w:sz w:val="22"/>
          <w:szCs w:val="22"/>
          <w:lang w:val="cs-CZ"/>
        </w:rPr>
        <w:t xml:space="preserve">Pro použití </w:t>
      </w:r>
      <w:r w:rsidR="001B5972" w:rsidRPr="00EC107F">
        <w:rPr>
          <w:rFonts w:ascii="Times New Roman" w:hAnsi="Times New Roman" w:cs="Times New Roman"/>
          <w:sz w:val="22"/>
          <w:szCs w:val="22"/>
          <w:lang w:val="cs-CZ"/>
        </w:rPr>
        <w:t xml:space="preserve">veterinárního léčivého </w:t>
      </w:r>
      <w:r w:rsidRPr="00EC107F">
        <w:rPr>
          <w:rFonts w:ascii="Times New Roman" w:hAnsi="Times New Roman" w:cs="Times New Roman"/>
          <w:sz w:val="22"/>
          <w:szCs w:val="22"/>
          <w:lang w:val="cs-CZ"/>
        </w:rPr>
        <w:t>přípravku je potřebné zvážit aktuální stav citlivosti/rezistence cílových patogenů v daném chovu a regionu.</w:t>
      </w:r>
    </w:p>
    <w:p w14:paraId="286F1758" w14:textId="77777777" w:rsidR="00CA60D7" w:rsidRPr="00EC107F" w:rsidRDefault="00CA60D7" w:rsidP="00571DEE">
      <w:pPr>
        <w:spacing w:line="240" w:lineRule="auto"/>
        <w:rPr>
          <w:szCs w:val="22"/>
        </w:rPr>
      </w:pPr>
    </w:p>
    <w:p w14:paraId="48DF5838" w14:textId="77777777" w:rsidR="00CA60D7" w:rsidRPr="00EC107F" w:rsidRDefault="00571DEE" w:rsidP="00571DEE">
      <w:pPr>
        <w:spacing w:line="240" w:lineRule="auto"/>
        <w:rPr>
          <w:szCs w:val="22"/>
        </w:rPr>
      </w:pPr>
      <w:r w:rsidRPr="00EC107F">
        <w:rPr>
          <w:snapToGrid w:val="0"/>
          <w:szCs w:val="22"/>
        </w:rPr>
        <w:t xml:space="preserve">Cefalexin je rezistentní vůči </w:t>
      </w:r>
      <w:r w:rsidR="00541090" w:rsidRPr="00EC107F">
        <w:rPr>
          <w:snapToGrid w:val="0"/>
          <w:szCs w:val="22"/>
        </w:rPr>
        <w:t xml:space="preserve">bakteriální </w:t>
      </w:r>
      <w:r w:rsidRPr="00EC107F">
        <w:rPr>
          <w:snapToGrid w:val="0"/>
          <w:szCs w:val="22"/>
        </w:rPr>
        <w:t>penicilináze, ale citlivý vůči cefalosporináze.</w:t>
      </w:r>
    </w:p>
    <w:p w14:paraId="3B484099" w14:textId="77777777" w:rsidR="00541090" w:rsidRPr="00EC107F" w:rsidRDefault="00541090" w:rsidP="00571DEE">
      <w:pPr>
        <w:spacing w:line="240" w:lineRule="auto"/>
        <w:rPr>
          <w:snapToGrid w:val="0"/>
          <w:szCs w:val="22"/>
        </w:rPr>
      </w:pPr>
    </w:p>
    <w:p w14:paraId="5DE308C5" w14:textId="77777777" w:rsidR="00CA60D7" w:rsidRPr="00EC107F" w:rsidRDefault="00571DEE" w:rsidP="00571DEE">
      <w:pPr>
        <w:spacing w:line="240" w:lineRule="auto"/>
        <w:rPr>
          <w:snapToGrid w:val="0"/>
          <w:szCs w:val="22"/>
        </w:rPr>
      </w:pPr>
      <w:r w:rsidRPr="00EC107F">
        <w:rPr>
          <w:snapToGrid w:val="0"/>
          <w:szCs w:val="22"/>
        </w:rPr>
        <w:t xml:space="preserve">Rezistence </w:t>
      </w:r>
      <w:r w:rsidR="00541090" w:rsidRPr="00EC107F">
        <w:rPr>
          <w:snapToGrid w:val="0"/>
          <w:szCs w:val="22"/>
        </w:rPr>
        <w:t xml:space="preserve">bakterií </w:t>
      </w:r>
      <w:r w:rsidRPr="00EC107F">
        <w:rPr>
          <w:snapToGrid w:val="0"/>
          <w:szCs w:val="22"/>
        </w:rPr>
        <w:t>k cefalexinu může být způsobena několika následujícími mechanizmy.</w:t>
      </w:r>
    </w:p>
    <w:p w14:paraId="69D44993" w14:textId="77777777" w:rsidR="00CA60D7" w:rsidRPr="00EC107F" w:rsidRDefault="00571DEE" w:rsidP="00571DEE">
      <w:pPr>
        <w:spacing w:line="240" w:lineRule="auto"/>
        <w:rPr>
          <w:snapToGrid w:val="0"/>
          <w:szCs w:val="22"/>
        </w:rPr>
      </w:pPr>
      <w:r w:rsidRPr="00EC107F">
        <w:rPr>
          <w:snapToGrid w:val="0"/>
          <w:szCs w:val="22"/>
        </w:rPr>
        <w:t>Nejčastějším mechanizmem inaktivujícím antibiotikum je u gramnegativních bakterií produkce beta</w:t>
      </w:r>
      <w:r w:rsidR="00541090" w:rsidRPr="00EC107F">
        <w:rPr>
          <w:snapToGrid w:val="0"/>
          <w:szCs w:val="22"/>
        </w:rPr>
        <w:t>-</w:t>
      </w:r>
      <w:r w:rsidRPr="00EC107F">
        <w:rPr>
          <w:snapToGrid w:val="0"/>
          <w:szCs w:val="22"/>
        </w:rPr>
        <w:t xml:space="preserve">laktamáz (cefalosporináz). V případě grampozitivních bakterií je velmi častou příčinou rezistence snížená afinita </w:t>
      </w:r>
      <w:proofErr w:type="spellStart"/>
      <w:r w:rsidRPr="00EC107F">
        <w:rPr>
          <w:snapToGrid w:val="0"/>
          <w:szCs w:val="22"/>
        </w:rPr>
        <w:t>PBPs</w:t>
      </w:r>
      <w:proofErr w:type="spellEnd"/>
      <w:r w:rsidRPr="00EC107F">
        <w:rPr>
          <w:snapToGrid w:val="0"/>
          <w:szCs w:val="22"/>
        </w:rPr>
        <w:t xml:space="preserve"> (proteinů vázajících penicilíny). Dalšími mechanizmy rezistence jsou vylučování antibiotika z bakteriální buňky pomocí efluxní pumpy a redukce pasívní difúze prostřednictvím strukturálních změn v porinech, kdy dochází ke sníženému průniku bakteriální buněčnou stěnou.</w:t>
      </w:r>
    </w:p>
    <w:p w14:paraId="10178EB5" w14:textId="71EEA3D9" w:rsidR="00CA60D7" w:rsidRPr="00EC107F" w:rsidRDefault="00571DEE" w:rsidP="00571DEE">
      <w:pPr>
        <w:spacing w:line="240" w:lineRule="auto"/>
        <w:rPr>
          <w:snapToGrid w:val="0"/>
          <w:szCs w:val="22"/>
        </w:rPr>
      </w:pPr>
      <w:r w:rsidRPr="00EC107F">
        <w:rPr>
          <w:snapToGrid w:val="0"/>
          <w:szCs w:val="22"/>
        </w:rPr>
        <w:t>Byla popsána zkřížená rezistence v důsledku strukturální podobnosti antibiotik beta</w:t>
      </w:r>
      <w:r w:rsidR="00541090" w:rsidRPr="00EC107F">
        <w:rPr>
          <w:snapToGrid w:val="0"/>
          <w:szCs w:val="22"/>
        </w:rPr>
        <w:t>-</w:t>
      </w:r>
      <w:r w:rsidRPr="00EC107F">
        <w:rPr>
          <w:snapToGrid w:val="0"/>
          <w:szCs w:val="22"/>
        </w:rPr>
        <w:t>laktamové skupiny způsobená shodnými mechanizmy, jaké jsou popsány výše (beta</w:t>
      </w:r>
      <w:r w:rsidR="00541090" w:rsidRPr="00EC107F">
        <w:rPr>
          <w:snapToGrid w:val="0"/>
          <w:szCs w:val="22"/>
        </w:rPr>
        <w:t>-</w:t>
      </w:r>
      <w:proofErr w:type="spellStart"/>
      <w:r w:rsidRPr="00EC107F">
        <w:rPr>
          <w:snapToGrid w:val="0"/>
          <w:szCs w:val="22"/>
        </w:rPr>
        <w:t>laktamázy</w:t>
      </w:r>
      <w:proofErr w:type="spellEnd"/>
      <w:r w:rsidRPr="00EC107F">
        <w:rPr>
          <w:snapToGrid w:val="0"/>
          <w:szCs w:val="22"/>
        </w:rPr>
        <w:t xml:space="preserve">, strukturální </w:t>
      </w:r>
      <w:r w:rsidRPr="00EC107F">
        <w:rPr>
          <w:snapToGrid w:val="0"/>
          <w:szCs w:val="22"/>
        </w:rPr>
        <w:lastRenderedPageBreak/>
        <w:t>změny v</w:t>
      </w:r>
      <w:r w:rsidR="00EC107F">
        <w:rPr>
          <w:snapToGrid w:val="0"/>
          <w:szCs w:val="22"/>
        </w:rPr>
        <w:t> </w:t>
      </w:r>
      <w:r w:rsidRPr="00EC107F">
        <w:rPr>
          <w:snapToGrid w:val="0"/>
          <w:szCs w:val="22"/>
        </w:rPr>
        <w:t>por</w:t>
      </w:r>
      <w:r w:rsidR="00EC107F">
        <w:rPr>
          <w:snapToGrid w:val="0"/>
          <w:szCs w:val="22"/>
        </w:rPr>
        <w:t>i</w:t>
      </w:r>
      <w:r w:rsidRPr="00EC107F">
        <w:rPr>
          <w:snapToGrid w:val="0"/>
          <w:szCs w:val="22"/>
        </w:rPr>
        <w:t xml:space="preserve">nech a efluxní pumpa). </w:t>
      </w:r>
      <w:proofErr w:type="spellStart"/>
      <w:r w:rsidRPr="00EC107F">
        <w:rPr>
          <w:snapToGrid w:val="0"/>
          <w:szCs w:val="22"/>
        </w:rPr>
        <w:t>Ko</w:t>
      </w:r>
      <w:proofErr w:type="spellEnd"/>
      <w:r w:rsidRPr="00EC107F">
        <w:rPr>
          <w:snapToGrid w:val="0"/>
          <w:szCs w:val="22"/>
        </w:rPr>
        <w:t xml:space="preserve"> – rezistence, zahrnující různé mechanizmy rezistence, byla popsána u </w:t>
      </w:r>
      <w:proofErr w:type="spellStart"/>
      <w:r w:rsidRPr="00EC107F">
        <w:rPr>
          <w:i/>
          <w:snapToGrid w:val="0"/>
          <w:szCs w:val="22"/>
        </w:rPr>
        <w:t>E.coli</w:t>
      </w:r>
      <w:proofErr w:type="spellEnd"/>
      <w:r w:rsidRPr="00EC107F">
        <w:rPr>
          <w:i/>
          <w:snapToGrid w:val="0"/>
          <w:szCs w:val="22"/>
        </w:rPr>
        <w:t xml:space="preserve"> </w:t>
      </w:r>
      <w:r w:rsidRPr="00EC107F">
        <w:rPr>
          <w:snapToGrid w:val="0"/>
          <w:szCs w:val="22"/>
        </w:rPr>
        <w:t xml:space="preserve">v důsledku genů rezistence přenášených </w:t>
      </w:r>
      <w:proofErr w:type="spellStart"/>
      <w:r w:rsidRPr="00EC107F">
        <w:rPr>
          <w:snapToGrid w:val="0"/>
          <w:szCs w:val="22"/>
        </w:rPr>
        <w:t>pla</w:t>
      </w:r>
      <w:r w:rsidR="00EC107F">
        <w:rPr>
          <w:snapToGrid w:val="0"/>
          <w:szCs w:val="22"/>
        </w:rPr>
        <w:t>z</w:t>
      </w:r>
      <w:r w:rsidRPr="00EC107F">
        <w:rPr>
          <w:snapToGrid w:val="0"/>
          <w:szCs w:val="22"/>
        </w:rPr>
        <w:t>midy</w:t>
      </w:r>
      <w:proofErr w:type="spellEnd"/>
      <w:r w:rsidRPr="00EC107F">
        <w:rPr>
          <w:snapToGrid w:val="0"/>
          <w:szCs w:val="22"/>
        </w:rPr>
        <w:t>.</w:t>
      </w:r>
    </w:p>
    <w:p w14:paraId="72CA645B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4D1A4C56" w14:textId="77777777" w:rsidR="00CA60D7" w:rsidRPr="00EC107F" w:rsidRDefault="00571DEE" w:rsidP="00571DEE">
      <w:pPr>
        <w:pStyle w:val="Style1"/>
      </w:pPr>
      <w:r w:rsidRPr="00EC107F">
        <w:t>4.3</w:t>
      </w:r>
      <w:r w:rsidRPr="00EC107F">
        <w:tab/>
        <w:t>Farmakokinetika</w:t>
      </w:r>
    </w:p>
    <w:p w14:paraId="04EF5F28" w14:textId="77777777" w:rsidR="00CA60D7" w:rsidRPr="00EC107F" w:rsidRDefault="00CA60D7" w:rsidP="00571DEE">
      <w:pPr>
        <w:pStyle w:val="Style1"/>
      </w:pPr>
    </w:p>
    <w:p w14:paraId="6E2221D3" w14:textId="270C38DD" w:rsidR="00CA60D7" w:rsidRPr="00EC107F" w:rsidRDefault="00571DEE" w:rsidP="00571DEE">
      <w:pPr>
        <w:spacing w:line="240" w:lineRule="auto"/>
        <w:rPr>
          <w:caps/>
          <w:szCs w:val="22"/>
        </w:rPr>
      </w:pPr>
      <w:r w:rsidRPr="00EC107F">
        <w:rPr>
          <w:szCs w:val="22"/>
        </w:rPr>
        <w:t xml:space="preserve">Po </w:t>
      </w:r>
      <w:proofErr w:type="spellStart"/>
      <w:r w:rsidRPr="00EC107F">
        <w:rPr>
          <w:szCs w:val="22"/>
        </w:rPr>
        <w:t>intramamárním</w:t>
      </w:r>
      <w:proofErr w:type="spellEnd"/>
      <w:r w:rsidRPr="00EC107F">
        <w:rPr>
          <w:szCs w:val="22"/>
        </w:rPr>
        <w:t xml:space="preserve"> podání je </w:t>
      </w:r>
      <w:proofErr w:type="spellStart"/>
      <w:r w:rsidRPr="00EC107F">
        <w:rPr>
          <w:szCs w:val="22"/>
        </w:rPr>
        <w:t>monohydrát</w:t>
      </w:r>
      <w:proofErr w:type="spellEnd"/>
      <w:r w:rsidRPr="00EC107F">
        <w:rPr>
          <w:szCs w:val="22"/>
        </w:rPr>
        <w:t xml:space="preserve"> cefalexinu rychle absorbován z mléčné žlázy. Tato rychlá difúze uvnitř vemene je vysvětlována následujícími vlastnostmi:</w:t>
      </w:r>
    </w:p>
    <w:p w14:paraId="2E788082" w14:textId="77777777" w:rsidR="00CA60D7" w:rsidRPr="00EC107F" w:rsidRDefault="00CA60D7" w:rsidP="00571DEE">
      <w:pPr>
        <w:spacing w:line="240" w:lineRule="auto"/>
        <w:jc w:val="both"/>
        <w:rPr>
          <w:caps/>
          <w:szCs w:val="22"/>
        </w:rPr>
      </w:pPr>
    </w:p>
    <w:p w14:paraId="5FE6C195" w14:textId="77777777" w:rsidR="00CA60D7" w:rsidRPr="00EC107F" w:rsidRDefault="00571DEE" w:rsidP="00571DEE">
      <w:pPr>
        <w:numPr>
          <w:ilvl w:val="0"/>
          <w:numId w:val="41"/>
        </w:numPr>
        <w:tabs>
          <w:tab w:val="clear" w:pos="567"/>
        </w:tabs>
        <w:autoSpaceDE w:val="0"/>
        <w:autoSpaceDN w:val="0"/>
        <w:spacing w:line="240" w:lineRule="auto"/>
        <w:rPr>
          <w:caps/>
          <w:szCs w:val="22"/>
        </w:rPr>
      </w:pPr>
      <w:r w:rsidRPr="00EC107F">
        <w:rPr>
          <w:szCs w:val="22"/>
        </w:rPr>
        <w:t>Cefalexin je slabě kyselé antibiotikum</w:t>
      </w:r>
    </w:p>
    <w:p w14:paraId="329D6079" w14:textId="77777777" w:rsidR="00CA60D7" w:rsidRPr="00EC107F" w:rsidRDefault="00571DEE" w:rsidP="00571DEE">
      <w:pPr>
        <w:numPr>
          <w:ilvl w:val="0"/>
          <w:numId w:val="41"/>
        </w:numPr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EC107F">
        <w:rPr>
          <w:szCs w:val="22"/>
        </w:rPr>
        <w:t>Procentuální zastoupení ionizovaného cefalexinu při pH 6,8 je 36</w:t>
      </w:r>
      <w:r w:rsidR="001B5972" w:rsidRPr="00EC107F">
        <w:rPr>
          <w:szCs w:val="22"/>
        </w:rPr>
        <w:t> </w:t>
      </w:r>
      <w:r w:rsidRPr="00EC107F">
        <w:rPr>
          <w:szCs w:val="22"/>
        </w:rPr>
        <w:t>%</w:t>
      </w:r>
    </w:p>
    <w:p w14:paraId="5A8AD8A6" w14:textId="77777777" w:rsidR="00CA60D7" w:rsidRPr="00EC107F" w:rsidRDefault="00571DEE" w:rsidP="00571DEE">
      <w:pPr>
        <w:numPr>
          <w:ilvl w:val="0"/>
          <w:numId w:val="41"/>
        </w:numPr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EC107F">
        <w:rPr>
          <w:szCs w:val="22"/>
        </w:rPr>
        <w:t>rozpustnost v tucích cefalexinu je vysoká</w:t>
      </w:r>
    </w:p>
    <w:p w14:paraId="1BA63837" w14:textId="1AEE3959" w:rsidR="00CA60D7" w:rsidRPr="00EC107F" w:rsidRDefault="00571DEE" w:rsidP="00571DEE">
      <w:pPr>
        <w:spacing w:line="240" w:lineRule="auto"/>
        <w:rPr>
          <w:szCs w:val="22"/>
        </w:rPr>
      </w:pPr>
      <w:r w:rsidRPr="00EC107F">
        <w:rPr>
          <w:szCs w:val="22"/>
        </w:rPr>
        <w:t>Cefalexin je částečně vázán na bílkoviny (10 až 15</w:t>
      </w:r>
      <w:r w:rsidR="001B5972" w:rsidRPr="00EC107F">
        <w:rPr>
          <w:szCs w:val="22"/>
        </w:rPr>
        <w:t> </w:t>
      </w:r>
      <w:r w:rsidRPr="00EC107F">
        <w:rPr>
          <w:szCs w:val="22"/>
        </w:rPr>
        <w:t>%)</w:t>
      </w:r>
    </w:p>
    <w:p w14:paraId="52C75CA3" w14:textId="77777777" w:rsidR="00CA60D7" w:rsidRPr="00EC107F" w:rsidRDefault="00CA60D7" w:rsidP="00571DEE">
      <w:pPr>
        <w:pStyle w:val="Style1"/>
      </w:pPr>
    </w:p>
    <w:p w14:paraId="4539BE11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533D7EBF" w14:textId="401AD49D" w:rsidR="00CA60D7" w:rsidRPr="00EC107F" w:rsidRDefault="00571DEE" w:rsidP="00571DEE">
      <w:pPr>
        <w:pStyle w:val="Style1"/>
      </w:pPr>
      <w:r w:rsidRPr="00EC107F">
        <w:t>5.</w:t>
      </w:r>
      <w:r w:rsidRPr="00EC107F">
        <w:tab/>
        <w:t>FARMACEUTICKÉ ÚDAJE</w:t>
      </w:r>
    </w:p>
    <w:p w14:paraId="793446CA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5FF0FCEF" w14:textId="77777777" w:rsidR="00CA60D7" w:rsidRPr="00EC107F" w:rsidRDefault="00571DEE" w:rsidP="00571DEE">
      <w:pPr>
        <w:pStyle w:val="Style1"/>
      </w:pPr>
      <w:r w:rsidRPr="00EC107F">
        <w:t>5.1</w:t>
      </w:r>
      <w:r w:rsidRPr="00EC107F">
        <w:tab/>
        <w:t>Hlavní inkompatibility</w:t>
      </w:r>
    </w:p>
    <w:p w14:paraId="3B244B0B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7A5FC640" w14:textId="77777777" w:rsidR="00CA60D7" w:rsidRPr="00EC107F" w:rsidRDefault="00571DEE" w:rsidP="00571DEE">
      <w:pPr>
        <w:tabs>
          <w:tab w:val="clear" w:pos="567"/>
        </w:tabs>
        <w:spacing w:line="240" w:lineRule="auto"/>
        <w:rPr>
          <w:szCs w:val="22"/>
        </w:rPr>
      </w:pPr>
      <w:r w:rsidRPr="00EC107F">
        <w:rPr>
          <w:szCs w:val="22"/>
        </w:rPr>
        <w:t>Nejsou známy.</w:t>
      </w:r>
    </w:p>
    <w:p w14:paraId="47457C9C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200B09BA" w14:textId="2799477C" w:rsidR="00CA60D7" w:rsidRPr="00EC107F" w:rsidRDefault="00571DEE" w:rsidP="00571DEE">
      <w:pPr>
        <w:pStyle w:val="Style1"/>
      </w:pPr>
      <w:r w:rsidRPr="00EC107F">
        <w:t>5.2</w:t>
      </w:r>
      <w:r w:rsidRPr="00EC107F">
        <w:tab/>
        <w:t>Doba použitelnosti</w:t>
      </w:r>
    </w:p>
    <w:p w14:paraId="6280E8D4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0670F911" w14:textId="77777777" w:rsidR="00CA60D7" w:rsidRPr="00EC107F" w:rsidRDefault="00571DEE" w:rsidP="00571DEE">
      <w:pPr>
        <w:spacing w:line="240" w:lineRule="auto"/>
        <w:jc w:val="both"/>
        <w:rPr>
          <w:caps/>
          <w:szCs w:val="22"/>
        </w:rPr>
      </w:pPr>
      <w:r w:rsidRPr="00EC107F">
        <w:rPr>
          <w:szCs w:val="22"/>
        </w:rPr>
        <w:t xml:space="preserve">Doba použitelnosti veterinárního léčivého přípravku v neporušeném obalu: </w:t>
      </w:r>
      <w:r w:rsidRPr="00EC107F">
        <w:rPr>
          <w:caps/>
          <w:szCs w:val="22"/>
        </w:rPr>
        <w:t>2</w:t>
      </w:r>
      <w:r w:rsidRPr="00EC107F">
        <w:rPr>
          <w:szCs w:val="22"/>
        </w:rPr>
        <w:t xml:space="preserve"> roky.</w:t>
      </w:r>
    </w:p>
    <w:p w14:paraId="370FB1CE" w14:textId="07C3264D" w:rsidR="00CA60D7" w:rsidRPr="00EC107F" w:rsidRDefault="00A6097E" w:rsidP="00571DEE">
      <w:pPr>
        <w:spacing w:line="240" w:lineRule="auto"/>
        <w:jc w:val="both"/>
        <w:rPr>
          <w:caps/>
          <w:szCs w:val="22"/>
        </w:rPr>
      </w:pPr>
      <w:r w:rsidRPr="00EC107F">
        <w:rPr>
          <w:szCs w:val="22"/>
        </w:rPr>
        <w:t>Doba použitelnosti po prvním otevření vnitřního obalu:</w:t>
      </w:r>
      <w:r w:rsidR="00571DEE" w:rsidRPr="00EC107F">
        <w:rPr>
          <w:szCs w:val="22"/>
        </w:rPr>
        <w:t xml:space="preserve"> </w:t>
      </w:r>
      <w:r w:rsidRPr="00EC107F">
        <w:rPr>
          <w:szCs w:val="22"/>
        </w:rPr>
        <w:t xml:space="preserve">spotřebujte </w:t>
      </w:r>
      <w:r w:rsidR="00571DEE" w:rsidRPr="00EC107F">
        <w:rPr>
          <w:szCs w:val="22"/>
        </w:rPr>
        <w:t>ihned.</w:t>
      </w:r>
    </w:p>
    <w:p w14:paraId="70250140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6AEF533B" w14:textId="64A10EE5" w:rsidR="00CA60D7" w:rsidRPr="00EC107F" w:rsidRDefault="00571DEE" w:rsidP="00571DEE">
      <w:pPr>
        <w:pStyle w:val="Style1"/>
      </w:pPr>
      <w:r w:rsidRPr="00EC107F">
        <w:t>5.3</w:t>
      </w:r>
      <w:r w:rsidRPr="00EC107F">
        <w:tab/>
        <w:t>Zvláštní opatření pro uchovávání</w:t>
      </w:r>
    </w:p>
    <w:p w14:paraId="7A58E3E2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3F2B5335" w14:textId="77777777" w:rsidR="00CA60D7" w:rsidRPr="00EC107F" w:rsidRDefault="00571DEE" w:rsidP="00571DEE">
      <w:pPr>
        <w:spacing w:line="240" w:lineRule="auto"/>
        <w:jc w:val="both"/>
        <w:rPr>
          <w:szCs w:val="22"/>
        </w:rPr>
      </w:pPr>
      <w:r w:rsidRPr="00EC107F">
        <w:rPr>
          <w:szCs w:val="22"/>
        </w:rPr>
        <w:t xml:space="preserve">Uchovávejte při teplotě do </w:t>
      </w:r>
      <w:smartTag w:uri="urn:schemas-microsoft-com:office:smarttags" w:element="metricconverter">
        <w:smartTagPr>
          <w:attr w:name="ProductID" w:val="Key2"/>
        </w:smartTagPr>
        <w:r w:rsidRPr="00EC107F">
          <w:rPr>
            <w:szCs w:val="22"/>
          </w:rPr>
          <w:t>25 °C</w:t>
        </w:r>
      </w:smartTag>
      <w:r w:rsidRPr="00EC107F">
        <w:rPr>
          <w:szCs w:val="22"/>
        </w:rPr>
        <w:t>.</w:t>
      </w:r>
    </w:p>
    <w:p w14:paraId="7C23E6B3" w14:textId="77777777" w:rsidR="00CA60D7" w:rsidRPr="00EC107F" w:rsidRDefault="00571DEE" w:rsidP="00571DEE">
      <w:pPr>
        <w:spacing w:line="240" w:lineRule="auto"/>
        <w:jc w:val="both"/>
        <w:rPr>
          <w:caps/>
          <w:szCs w:val="22"/>
        </w:rPr>
      </w:pPr>
      <w:r w:rsidRPr="00EC107F">
        <w:rPr>
          <w:szCs w:val="22"/>
        </w:rPr>
        <w:t>Chraňte před chladem</w:t>
      </w:r>
      <w:r w:rsidRPr="00EC107F">
        <w:rPr>
          <w:caps/>
          <w:szCs w:val="22"/>
        </w:rPr>
        <w:t>.</w:t>
      </w:r>
    </w:p>
    <w:p w14:paraId="0856680D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0C81D6FE" w14:textId="11C54681" w:rsidR="00CA60D7" w:rsidRPr="00EC107F" w:rsidRDefault="00571DEE" w:rsidP="00571DEE">
      <w:pPr>
        <w:pStyle w:val="Style1"/>
      </w:pPr>
      <w:r w:rsidRPr="00EC107F">
        <w:t>5.4</w:t>
      </w:r>
      <w:r w:rsidRPr="00EC107F">
        <w:tab/>
        <w:t>Druh a složení vnitřního obalu</w:t>
      </w:r>
    </w:p>
    <w:p w14:paraId="6C219022" w14:textId="77777777" w:rsidR="00CA60D7" w:rsidRPr="00EC107F" w:rsidRDefault="00CA60D7" w:rsidP="00571DEE">
      <w:pPr>
        <w:pStyle w:val="Style1"/>
      </w:pPr>
    </w:p>
    <w:p w14:paraId="5EA35B97" w14:textId="77777777" w:rsidR="00CA60D7" w:rsidRPr="00EC107F" w:rsidRDefault="00571DEE" w:rsidP="00571DEE">
      <w:pPr>
        <w:spacing w:line="240" w:lineRule="auto"/>
        <w:jc w:val="both"/>
        <w:rPr>
          <w:szCs w:val="22"/>
        </w:rPr>
      </w:pPr>
      <w:r w:rsidRPr="00EC107F">
        <w:rPr>
          <w:szCs w:val="22"/>
        </w:rPr>
        <w:t>Bílý injektor z pevného plastu s obsahem 9,4 g přípravku vyrobený z polyetylénu a uzavřený</w:t>
      </w:r>
    </w:p>
    <w:p w14:paraId="3BFD97C8" w14:textId="77777777" w:rsidR="00CA60D7" w:rsidRPr="00EC107F" w:rsidRDefault="00571DEE" w:rsidP="00571DEE">
      <w:pPr>
        <w:spacing w:line="240" w:lineRule="auto"/>
        <w:jc w:val="both"/>
        <w:rPr>
          <w:caps/>
          <w:szCs w:val="22"/>
        </w:rPr>
      </w:pPr>
      <w:r w:rsidRPr="00EC107F">
        <w:rPr>
          <w:szCs w:val="22"/>
        </w:rPr>
        <w:t>hermetickým uzávěrem.</w:t>
      </w:r>
    </w:p>
    <w:p w14:paraId="0AB4AB07" w14:textId="582E7823" w:rsidR="00CA60D7" w:rsidRPr="00EC107F" w:rsidRDefault="005B6F33" w:rsidP="00571DEE">
      <w:pPr>
        <w:spacing w:line="240" w:lineRule="auto"/>
        <w:jc w:val="both"/>
        <w:rPr>
          <w:caps/>
          <w:szCs w:val="22"/>
        </w:rPr>
      </w:pPr>
      <w:r w:rsidRPr="00EC107F">
        <w:rPr>
          <w:szCs w:val="22"/>
        </w:rPr>
        <w:t>-</w:t>
      </w:r>
      <w:r w:rsidR="00571DEE" w:rsidRPr="00EC107F">
        <w:rPr>
          <w:szCs w:val="22"/>
        </w:rPr>
        <w:t xml:space="preserve"> baleno po 4 ks do papírové skládačky.</w:t>
      </w:r>
    </w:p>
    <w:p w14:paraId="5011D713" w14:textId="09C3B62D" w:rsidR="00CA60D7" w:rsidRPr="00EC107F" w:rsidRDefault="005B6F33" w:rsidP="00571DEE">
      <w:pPr>
        <w:spacing w:line="240" w:lineRule="auto"/>
        <w:jc w:val="both"/>
        <w:rPr>
          <w:szCs w:val="22"/>
        </w:rPr>
      </w:pPr>
      <w:r w:rsidRPr="00EC107F">
        <w:rPr>
          <w:szCs w:val="22"/>
        </w:rPr>
        <w:t>-</w:t>
      </w:r>
      <w:r w:rsidR="00571DEE" w:rsidRPr="00EC107F">
        <w:rPr>
          <w:szCs w:val="22"/>
        </w:rPr>
        <w:t xml:space="preserve"> baleno po</w:t>
      </w:r>
      <w:r w:rsidRPr="00EC107F">
        <w:rPr>
          <w:szCs w:val="22"/>
        </w:rPr>
        <w:t xml:space="preserve"> </w:t>
      </w:r>
      <w:r w:rsidR="00571DEE" w:rsidRPr="00EC107F">
        <w:rPr>
          <w:szCs w:val="22"/>
        </w:rPr>
        <w:t>12 ks do papírové skládačky.</w:t>
      </w:r>
    </w:p>
    <w:p w14:paraId="5774E232" w14:textId="34309F8F" w:rsidR="00CA60D7" w:rsidRPr="00EC107F" w:rsidRDefault="005B6F33" w:rsidP="00571DEE">
      <w:pPr>
        <w:spacing w:line="240" w:lineRule="auto"/>
        <w:jc w:val="both"/>
        <w:rPr>
          <w:caps/>
          <w:szCs w:val="22"/>
        </w:rPr>
      </w:pPr>
      <w:r w:rsidRPr="00EC107F">
        <w:rPr>
          <w:szCs w:val="22"/>
        </w:rPr>
        <w:t>-</w:t>
      </w:r>
      <w:r w:rsidR="00571DEE" w:rsidRPr="00EC107F">
        <w:rPr>
          <w:szCs w:val="22"/>
        </w:rPr>
        <w:t xml:space="preserve"> baleno po 24 ks do kartonové krabice.</w:t>
      </w:r>
    </w:p>
    <w:p w14:paraId="3A168064" w14:textId="4866082A" w:rsidR="00CA60D7" w:rsidRPr="00EC107F" w:rsidRDefault="005B6F33" w:rsidP="00571DEE">
      <w:pPr>
        <w:spacing w:line="240" w:lineRule="auto"/>
        <w:jc w:val="both"/>
        <w:rPr>
          <w:szCs w:val="22"/>
        </w:rPr>
      </w:pPr>
      <w:r w:rsidRPr="00EC107F">
        <w:rPr>
          <w:szCs w:val="22"/>
        </w:rPr>
        <w:t>-</w:t>
      </w:r>
      <w:r w:rsidR="00571DEE" w:rsidRPr="00EC107F">
        <w:rPr>
          <w:szCs w:val="22"/>
        </w:rPr>
        <w:t xml:space="preserve"> baleno po 60 ks do papírové krabice.</w:t>
      </w:r>
    </w:p>
    <w:p w14:paraId="0C484935" w14:textId="0D541D96" w:rsidR="00CA60D7" w:rsidRPr="00EC107F" w:rsidRDefault="005B6F33" w:rsidP="00571DEE">
      <w:pPr>
        <w:spacing w:line="240" w:lineRule="auto"/>
        <w:jc w:val="both"/>
        <w:rPr>
          <w:caps/>
          <w:szCs w:val="22"/>
        </w:rPr>
      </w:pPr>
      <w:r w:rsidRPr="00EC107F">
        <w:rPr>
          <w:szCs w:val="22"/>
        </w:rPr>
        <w:t>-</w:t>
      </w:r>
      <w:r w:rsidR="00571DEE" w:rsidRPr="00EC107F">
        <w:rPr>
          <w:szCs w:val="22"/>
        </w:rPr>
        <w:t xml:space="preserve"> baleno po 120 ks do kartonové krabice.</w:t>
      </w:r>
    </w:p>
    <w:p w14:paraId="7DBD648C" w14:textId="61A84A72" w:rsidR="00CA60D7" w:rsidRPr="00EC107F" w:rsidRDefault="005B6F33" w:rsidP="00E93E63">
      <w:pPr>
        <w:spacing w:line="240" w:lineRule="auto"/>
        <w:rPr>
          <w:caps/>
          <w:szCs w:val="22"/>
        </w:rPr>
      </w:pPr>
      <w:r w:rsidRPr="00EC107F">
        <w:rPr>
          <w:szCs w:val="22"/>
        </w:rPr>
        <w:t>-</w:t>
      </w:r>
      <w:r w:rsidR="00571DEE" w:rsidRPr="00EC107F">
        <w:rPr>
          <w:szCs w:val="22"/>
        </w:rPr>
        <w:t xml:space="preserve"> baleno po 500 ks do kartónové krabice</w:t>
      </w:r>
      <w:r w:rsidR="00571DEE" w:rsidRPr="00EC107F">
        <w:rPr>
          <w:caps/>
          <w:szCs w:val="22"/>
        </w:rPr>
        <w:t xml:space="preserve"> </w:t>
      </w:r>
      <w:r w:rsidR="00571DEE" w:rsidRPr="00EC107F">
        <w:rPr>
          <w:szCs w:val="22"/>
        </w:rPr>
        <w:t>(vnitřní obsah kartonu obsahuje 25</w:t>
      </w:r>
      <w:r w:rsidRPr="00EC107F">
        <w:rPr>
          <w:szCs w:val="22"/>
        </w:rPr>
        <w:t xml:space="preserve"> </w:t>
      </w:r>
      <w:r w:rsidR="00571DEE" w:rsidRPr="00EC107F">
        <w:rPr>
          <w:szCs w:val="22"/>
        </w:rPr>
        <w:t>polyethylenových sáčků, z nichž každý obsahuje po 20 injektorech</w:t>
      </w:r>
      <w:r w:rsidR="00571DEE" w:rsidRPr="00EC107F">
        <w:rPr>
          <w:caps/>
          <w:szCs w:val="22"/>
        </w:rPr>
        <w:t>)</w:t>
      </w:r>
      <w:r w:rsidR="00571DEE" w:rsidRPr="00EC107F">
        <w:rPr>
          <w:szCs w:val="22"/>
        </w:rPr>
        <w:t>.</w:t>
      </w:r>
    </w:p>
    <w:p w14:paraId="65C74F5C" w14:textId="77777777" w:rsidR="00CA60D7" w:rsidRPr="00EC107F" w:rsidRDefault="00CA60D7" w:rsidP="00571DEE">
      <w:pPr>
        <w:spacing w:line="240" w:lineRule="auto"/>
        <w:jc w:val="both"/>
        <w:rPr>
          <w:szCs w:val="22"/>
        </w:rPr>
      </w:pPr>
    </w:p>
    <w:p w14:paraId="2A3C6A0B" w14:textId="77777777" w:rsidR="00CA60D7" w:rsidRPr="00EC107F" w:rsidRDefault="00571DEE" w:rsidP="00571DEE">
      <w:pPr>
        <w:spacing w:line="240" w:lineRule="auto"/>
        <w:jc w:val="both"/>
        <w:rPr>
          <w:szCs w:val="22"/>
        </w:rPr>
      </w:pPr>
      <w:r w:rsidRPr="00EC107F">
        <w:rPr>
          <w:szCs w:val="22"/>
        </w:rPr>
        <w:t>Na trhu nemusí být všechny velikosti balení.</w:t>
      </w:r>
    </w:p>
    <w:p w14:paraId="6ABCF7DE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2272AB7E" w14:textId="46CB11DF" w:rsidR="00CA60D7" w:rsidRPr="00EC107F" w:rsidRDefault="00571DEE" w:rsidP="00D05B14">
      <w:pPr>
        <w:pStyle w:val="Style1"/>
        <w:keepNext/>
        <w:jc w:val="both"/>
      </w:pPr>
      <w:r w:rsidRPr="00EC107F">
        <w:t>5.5</w:t>
      </w:r>
      <w:r w:rsidRPr="00EC107F">
        <w:tab/>
        <w:t>Zvláštní opatření pro likvidaci nepoužitých veterinárních léčivých přípravků nebo odpadů, které pochází z těchto přípravků</w:t>
      </w:r>
    </w:p>
    <w:p w14:paraId="2429D778" w14:textId="77777777" w:rsidR="00CA60D7" w:rsidRPr="00EC107F" w:rsidRDefault="00CA60D7" w:rsidP="00D05B14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43BD023" w14:textId="77777777" w:rsidR="00CA60D7" w:rsidRPr="00EC107F" w:rsidRDefault="00571DEE" w:rsidP="00D05B1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C107F">
        <w:rPr>
          <w:szCs w:val="22"/>
        </w:rPr>
        <w:t>Léčivé přípravky se nesmí likvidovat prostřednictvím odpadní vody či domovního odpadu.</w:t>
      </w:r>
    </w:p>
    <w:p w14:paraId="35ACBBBD" w14:textId="77777777" w:rsidR="00CA60D7" w:rsidRPr="00EC107F" w:rsidRDefault="00CA60D7" w:rsidP="00D05B1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EAB003A" w14:textId="777969E8" w:rsidR="00CA60D7" w:rsidRPr="00EC107F" w:rsidRDefault="00571DEE" w:rsidP="00D05B1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C107F">
        <w:rPr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1347E3F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15DC142D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36FEBB4B" w14:textId="57BB0AA0" w:rsidR="00CA60D7" w:rsidRPr="00EC107F" w:rsidRDefault="00571DEE" w:rsidP="00571DEE">
      <w:pPr>
        <w:pStyle w:val="Style1"/>
      </w:pPr>
      <w:r w:rsidRPr="00EC107F">
        <w:t>6.</w:t>
      </w:r>
      <w:r w:rsidRPr="00EC107F">
        <w:tab/>
        <w:t>JMÉNO DRŽITELE ROZHODNUTÍ O REGISTRACI</w:t>
      </w:r>
    </w:p>
    <w:p w14:paraId="656407E2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498F488F" w14:textId="3D938F5D" w:rsidR="00CA60D7" w:rsidRPr="00EC107F" w:rsidRDefault="00571DEE" w:rsidP="00571DEE">
      <w:pPr>
        <w:spacing w:line="240" w:lineRule="auto"/>
        <w:jc w:val="both"/>
        <w:rPr>
          <w:caps/>
          <w:szCs w:val="22"/>
        </w:rPr>
      </w:pPr>
      <w:r w:rsidRPr="00EC107F">
        <w:rPr>
          <w:caps/>
          <w:szCs w:val="22"/>
        </w:rPr>
        <w:t>VIRBAC</w:t>
      </w:r>
    </w:p>
    <w:p w14:paraId="237DAD5E" w14:textId="77777777" w:rsidR="00CA60D7" w:rsidRPr="00EC107F" w:rsidRDefault="00CA60D7" w:rsidP="00571DEE">
      <w:pPr>
        <w:spacing w:line="240" w:lineRule="auto"/>
        <w:jc w:val="both"/>
        <w:rPr>
          <w:caps/>
          <w:szCs w:val="22"/>
        </w:rPr>
      </w:pPr>
    </w:p>
    <w:p w14:paraId="2770B369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299F88D4" w14:textId="77777777" w:rsidR="00CA60D7" w:rsidRPr="00EC107F" w:rsidRDefault="00571DEE" w:rsidP="00571DEE">
      <w:pPr>
        <w:pStyle w:val="Style1"/>
      </w:pPr>
      <w:r w:rsidRPr="00EC107F">
        <w:t>7.</w:t>
      </w:r>
      <w:r w:rsidRPr="00EC107F">
        <w:tab/>
        <w:t>REGISTRAČNÍ ČÍSLO(A)</w:t>
      </w:r>
    </w:p>
    <w:p w14:paraId="68510401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07139626" w14:textId="77777777" w:rsidR="00CA60D7" w:rsidRPr="00EC107F" w:rsidRDefault="00571DEE" w:rsidP="00571DEE">
      <w:pPr>
        <w:spacing w:line="240" w:lineRule="auto"/>
        <w:ind w:right="-318"/>
        <w:jc w:val="both"/>
        <w:rPr>
          <w:szCs w:val="22"/>
        </w:rPr>
      </w:pPr>
      <w:r w:rsidRPr="00EC107F">
        <w:rPr>
          <w:szCs w:val="22"/>
        </w:rPr>
        <w:t>96/039/94-C</w:t>
      </w:r>
    </w:p>
    <w:p w14:paraId="1573E5FB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1A4A8E2D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00011DC4" w14:textId="77777777" w:rsidR="00CA60D7" w:rsidRPr="00EC107F" w:rsidRDefault="00571DEE" w:rsidP="00571DEE">
      <w:pPr>
        <w:pStyle w:val="Style1"/>
      </w:pPr>
      <w:r w:rsidRPr="00EC107F">
        <w:t>8.</w:t>
      </w:r>
      <w:r w:rsidRPr="00EC107F">
        <w:tab/>
        <w:t>DATUM PRVNÍ REGISTRACE</w:t>
      </w:r>
    </w:p>
    <w:p w14:paraId="45DFA75E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30249FB6" w14:textId="0CBD62A7" w:rsidR="00CA60D7" w:rsidRPr="00EC107F" w:rsidRDefault="00571DEE" w:rsidP="00571DEE">
      <w:pPr>
        <w:spacing w:line="240" w:lineRule="auto"/>
        <w:ind w:right="-318"/>
        <w:jc w:val="both"/>
        <w:rPr>
          <w:szCs w:val="22"/>
        </w:rPr>
      </w:pPr>
      <w:r w:rsidRPr="00EC107F">
        <w:rPr>
          <w:szCs w:val="22"/>
        </w:rPr>
        <w:t>17/</w:t>
      </w:r>
      <w:r w:rsidR="00F37E33" w:rsidRPr="00EC107F">
        <w:rPr>
          <w:szCs w:val="22"/>
        </w:rPr>
        <w:t>0</w:t>
      </w:r>
      <w:r w:rsidRPr="00EC107F">
        <w:rPr>
          <w:szCs w:val="22"/>
        </w:rPr>
        <w:t>1/1994</w:t>
      </w:r>
    </w:p>
    <w:p w14:paraId="080FD34D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6229DDB4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7B2B2D16" w14:textId="77777777" w:rsidR="00CA60D7" w:rsidRPr="00EC107F" w:rsidRDefault="00571DEE" w:rsidP="00571DEE">
      <w:pPr>
        <w:pStyle w:val="Style1"/>
        <w:keepNext/>
      </w:pPr>
      <w:r w:rsidRPr="00EC107F">
        <w:t>9.</w:t>
      </w:r>
      <w:r w:rsidRPr="00EC107F">
        <w:tab/>
        <w:t>DATUM POSLEDNÍ AKTUALIZACE SOUHRNU ÚDAJŮ O PŘÍPRAVKU</w:t>
      </w:r>
    </w:p>
    <w:p w14:paraId="426D9802" w14:textId="77777777" w:rsidR="00CA60D7" w:rsidRPr="00EC107F" w:rsidRDefault="00CA60D7" w:rsidP="00571DE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16D57AD" w14:textId="2BD9B986" w:rsidR="00CA60D7" w:rsidRPr="00EC107F" w:rsidRDefault="00B94F42" w:rsidP="00571DEE">
      <w:pPr>
        <w:spacing w:line="240" w:lineRule="auto"/>
        <w:ind w:right="-318"/>
        <w:jc w:val="both"/>
        <w:rPr>
          <w:szCs w:val="22"/>
        </w:rPr>
      </w:pPr>
      <w:r>
        <w:rPr>
          <w:szCs w:val="22"/>
        </w:rPr>
        <w:t>09/2025</w:t>
      </w:r>
    </w:p>
    <w:p w14:paraId="5AC93E3F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7565CBC7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5D47953D" w14:textId="77777777" w:rsidR="00CA60D7" w:rsidRPr="00EC107F" w:rsidRDefault="00571DEE" w:rsidP="00571DEE">
      <w:pPr>
        <w:pStyle w:val="Style1"/>
      </w:pPr>
      <w:r w:rsidRPr="00EC107F">
        <w:t>10.</w:t>
      </w:r>
      <w:r w:rsidRPr="00EC107F">
        <w:tab/>
        <w:t>KLASIFIKACE VETERINÁRNÍCH LÉČIVÝCH PŘÍPRAVKŮ</w:t>
      </w:r>
    </w:p>
    <w:p w14:paraId="1E35406B" w14:textId="77777777" w:rsidR="00CA60D7" w:rsidRPr="00EC107F" w:rsidRDefault="00CA60D7" w:rsidP="00571DEE">
      <w:pPr>
        <w:spacing w:line="240" w:lineRule="auto"/>
        <w:ind w:right="-318"/>
        <w:rPr>
          <w:szCs w:val="22"/>
        </w:rPr>
      </w:pPr>
    </w:p>
    <w:p w14:paraId="7BF51AFD" w14:textId="77777777" w:rsidR="00CA60D7" w:rsidRPr="00EC107F" w:rsidRDefault="00571DEE" w:rsidP="00571DEE">
      <w:pPr>
        <w:spacing w:line="240" w:lineRule="auto"/>
        <w:jc w:val="both"/>
        <w:rPr>
          <w:snapToGrid w:val="0"/>
          <w:szCs w:val="22"/>
        </w:rPr>
      </w:pPr>
      <w:r w:rsidRPr="00EC107F">
        <w:rPr>
          <w:snapToGrid w:val="0"/>
          <w:szCs w:val="22"/>
        </w:rPr>
        <w:t>Veterinární léčivý přípravek je vydáván pouze na předpis.</w:t>
      </w:r>
    </w:p>
    <w:p w14:paraId="05195F1D" w14:textId="77777777" w:rsidR="00CA60D7" w:rsidRPr="00EC107F" w:rsidRDefault="00CA60D7" w:rsidP="00571DEE">
      <w:pPr>
        <w:spacing w:line="240" w:lineRule="auto"/>
        <w:ind w:right="-318"/>
        <w:rPr>
          <w:szCs w:val="22"/>
        </w:rPr>
      </w:pPr>
    </w:p>
    <w:p w14:paraId="3962911C" w14:textId="77777777" w:rsidR="00CA60D7" w:rsidRPr="00EC107F" w:rsidRDefault="00571DEE" w:rsidP="00571DEE">
      <w:pPr>
        <w:spacing w:line="240" w:lineRule="auto"/>
        <w:rPr>
          <w:szCs w:val="22"/>
        </w:rPr>
      </w:pPr>
      <w:bookmarkStart w:id="6" w:name="_Hlk73467306"/>
      <w:r w:rsidRPr="00EC107F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Pr="00EC107F">
          <w:rPr>
            <w:rStyle w:val="Hypertextovodkaz"/>
            <w:szCs w:val="22"/>
          </w:rPr>
          <w:t>https://medicines.health.europa.eu/veterinary</w:t>
        </w:r>
      </w:hyperlink>
      <w:r w:rsidRPr="00EC107F">
        <w:rPr>
          <w:szCs w:val="22"/>
        </w:rPr>
        <w:t>)</w:t>
      </w:r>
      <w:r w:rsidRPr="00EC107F">
        <w:rPr>
          <w:i/>
          <w:szCs w:val="22"/>
        </w:rPr>
        <w:t>.</w:t>
      </w:r>
    </w:p>
    <w:bookmarkEnd w:id="6"/>
    <w:p w14:paraId="1565B425" w14:textId="77777777" w:rsidR="00CA60D7" w:rsidRPr="00EC107F" w:rsidRDefault="00CA60D7" w:rsidP="00571DEE">
      <w:pPr>
        <w:tabs>
          <w:tab w:val="clear" w:pos="567"/>
        </w:tabs>
        <w:spacing w:line="240" w:lineRule="auto"/>
        <w:rPr>
          <w:szCs w:val="22"/>
        </w:rPr>
      </w:pPr>
    </w:p>
    <w:p w14:paraId="04CCD37C" w14:textId="1C5EC385" w:rsidR="00CA60D7" w:rsidRPr="00EC107F" w:rsidRDefault="00571DEE" w:rsidP="00EC107F">
      <w:pPr>
        <w:tabs>
          <w:tab w:val="clear" w:pos="567"/>
        </w:tabs>
        <w:spacing w:line="240" w:lineRule="auto"/>
        <w:rPr>
          <w:szCs w:val="22"/>
        </w:rPr>
      </w:pPr>
      <w:r w:rsidRPr="00EC107F">
        <w:rPr>
          <w:szCs w:val="22"/>
        </w:rPr>
        <w:t>Podrobné informace o tomto veterinárním léčivém přípravku naleznete také v národní databázi (</w:t>
      </w:r>
      <w:hyperlink r:id="rId9" w:history="1">
        <w:r w:rsidRPr="00EC107F">
          <w:rPr>
            <w:rStyle w:val="Hypertextovodkaz"/>
            <w:szCs w:val="22"/>
          </w:rPr>
          <w:t>https://www.uskvbl.cz</w:t>
        </w:r>
      </w:hyperlink>
      <w:r w:rsidRPr="00EC107F">
        <w:rPr>
          <w:szCs w:val="22"/>
        </w:rPr>
        <w:t>).</w:t>
      </w:r>
    </w:p>
    <w:sectPr w:rsidR="00CA60D7" w:rsidRPr="00EC107F" w:rsidSect="00B74999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DC360" w14:textId="77777777" w:rsidR="009B759E" w:rsidRDefault="009B759E">
      <w:pPr>
        <w:spacing w:line="240" w:lineRule="auto"/>
      </w:pPr>
      <w:r>
        <w:separator/>
      </w:r>
    </w:p>
  </w:endnote>
  <w:endnote w:type="continuationSeparator" w:id="0">
    <w:p w14:paraId="397CEE52" w14:textId="77777777" w:rsidR="009B759E" w:rsidRDefault="009B759E">
      <w:pPr>
        <w:spacing w:line="240" w:lineRule="auto"/>
      </w:pPr>
      <w:r>
        <w:continuationSeparator/>
      </w:r>
    </w:p>
  </w:endnote>
  <w:endnote w:type="continuationNotice" w:id="1">
    <w:p w14:paraId="1C152BE4" w14:textId="77777777" w:rsidR="009B759E" w:rsidRDefault="009B75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DD587" w14:textId="77777777" w:rsidR="00C75287" w:rsidRDefault="00C7528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6D5301">
      <w:rPr>
        <w:rFonts w:ascii="Times New Roman" w:hAnsi="Times New Roman"/>
        <w:noProof/>
      </w:rPr>
      <w:t>15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DDFF7" w14:textId="77777777" w:rsidR="00C75287" w:rsidRDefault="00C7528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14732" w14:textId="77777777" w:rsidR="009B759E" w:rsidRDefault="009B759E" w:rsidP="00E93E63">
      <w:pPr>
        <w:spacing w:line="240" w:lineRule="auto"/>
      </w:pPr>
      <w:r>
        <w:separator/>
      </w:r>
    </w:p>
  </w:footnote>
  <w:footnote w:type="continuationSeparator" w:id="0">
    <w:p w14:paraId="5DC1F6B9" w14:textId="77777777" w:rsidR="009B759E" w:rsidRDefault="009B759E">
      <w:pPr>
        <w:spacing w:line="240" w:lineRule="auto"/>
      </w:pPr>
      <w:r>
        <w:continuationSeparator/>
      </w:r>
    </w:p>
  </w:footnote>
  <w:footnote w:type="continuationNotice" w:id="1">
    <w:p w14:paraId="5A71B4EA" w14:textId="77777777" w:rsidR="009B759E" w:rsidRDefault="009B759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7740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D095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346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88C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231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8291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FEE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381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6EB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B3AEC1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DFEC3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D0AA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0EC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D2A4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C8F9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DE9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A0F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90A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3D0297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A70BE4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F989CA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B064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D84A12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76C382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6AA113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9E02FD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B94AE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368CB5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71266B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E869AF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10413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5CE1F4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F00146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D68B3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D5606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FD860D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B9C1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DA4D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DCCE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388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C2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2C7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40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0B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4EF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D17AC5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7A85F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54B6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F0F3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3824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8822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AE1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94DA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AADC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4063F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CD6F6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0CF3C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53ABB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48837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93646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D4AAB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C888D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1EF1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F76FF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0D2F2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B237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2E2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C6F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1473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EE1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49F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62E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6EC80C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B4E5F6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04C1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CA2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68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0F1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6A9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6A7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F667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C80A3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DF68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32A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1A8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C62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16DA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829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B2DE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508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48E925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766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CAD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C03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FCA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C2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69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84F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C62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3F063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F8C467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D8ABFC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B6C531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EB458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36838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D1C3E2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57AAAF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6EE914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3DA44E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1D2B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5659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6C1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EBE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5A87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F64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9642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02B0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CBEA8A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BCC195E" w:tentative="1">
      <w:start w:val="1"/>
      <w:numFmt w:val="lowerLetter"/>
      <w:lvlText w:val="%2."/>
      <w:lvlJc w:val="left"/>
      <w:pPr>
        <w:ind w:left="1440" w:hanging="360"/>
      </w:pPr>
    </w:lvl>
    <w:lvl w:ilvl="2" w:tplc="B13AB366" w:tentative="1">
      <w:start w:val="1"/>
      <w:numFmt w:val="lowerRoman"/>
      <w:lvlText w:val="%3."/>
      <w:lvlJc w:val="right"/>
      <w:pPr>
        <w:ind w:left="2160" w:hanging="180"/>
      </w:pPr>
    </w:lvl>
    <w:lvl w:ilvl="3" w:tplc="01CC71C0" w:tentative="1">
      <w:start w:val="1"/>
      <w:numFmt w:val="decimal"/>
      <w:lvlText w:val="%4."/>
      <w:lvlJc w:val="left"/>
      <w:pPr>
        <w:ind w:left="2880" w:hanging="360"/>
      </w:pPr>
    </w:lvl>
    <w:lvl w:ilvl="4" w:tplc="4EFA5FB0" w:tentative="1">
      <w:start w:val="1"/>
      <w:numFmt w:val="lowerLetter"/>
      <w:lvlText w:val="%5."/>
      <w:lvlJc w:val="left"/>
      <w:pPr>
        <w:ind w:left="3600" w:hanging="360"/>
      </w:pPr>
    </w:lvl>
    <w:lvl w:ilvl="5" w:tplc="38A212FE" w:tentative="1">
      <w:start w:val="1"/>
      <w:numFmt w:val="lowerRoman"/>
      <w:lvlText w:val="%6."/>
      <w:lvlJc w:val="right"/>
      <w:pPr>
        <w:ind w:left="4320" w:hanging="180"/>
      </w:pPr>
    </w:lvl>
    <w:lvl w:ilvl="6" w:tplc="0D26B376" w:tentative="1">
      <w:start w:val="1"/>
      <w:numFmt w:val="decimal"/>
      <w:lvlText w:val="%7."/>
      <w:lvlJc w:val="left"/>
      <w:pPr>
        <w:ind w:left="5040" w:hanging="360"/>
      </w:pPr>
    </w:lvl>
    <w:lvl w:ilvl="7" w:tplc="3326A098" w:tentative="1">
      <w:start w:val="1"/>
      <w:numFmt w:val="lowerLetter"/>
      <w:lvlText w:val="%8."/>
      <w:lvlJc w:val="left"/>
      <w:pPr>
        <w:ind w:left="5760" w:hanging="360"/>
      </w:pPr>
    </w:lvl>
    <w:lvl w:ilvl="8" w:tplc="66543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792B2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240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525D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7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CC5D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148D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B20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3A2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0E78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0DA4A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3A75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2C69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60B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4092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2CD3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2C0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04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4E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5488BD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D2E9F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A6C4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A2B7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C01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DEB7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9C0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63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EEE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C400BB4">
      <w:start w:val="1"/>
      <w:numFmt w:val="decimal"/>
      <w:lvlText w:val="%1."/>
      <w:lvlJc w:val="left"/>
      <w:pPr>
        <w:ind w:left="720" w:hanging="360"/>
      </w:pPr>
    </w:lvl>
    <w:lvl w:ilvl="1" w:tplc="6DCA584A" w:tentative="1">
      <w:start w:val="1"/>
      <w:numFmt w:val="lowerLetter"/>
      <w:lvlText w:val="%2."/>
      <w:lvlJc w:val="left"/>
      <w:pPr>
        <w:ind w:left="1440" w:hanging="360"/>
      </w:pPr>
    </w:lvl>
    <w:lvl w:ilvl="2" w:tplc="8DBE39A6" w:tentative="1">
      <w:start w:val="1"/>
      <w:numFmt w:val="lowerRoman"/>
      <w:lvlText w:val="%3."/>
      <w:lvlJc w:val="right"/>
      <w:pPr>
        <w:ind w:left="2160" w:hanging="180"/>
      </w:pPr>
    </w:lvl>
    <w:lvl w:ilvl="3" w:tplc="283263BA" w:tentative="1">
      <w:start w:val="1"/>
      <w:numFmt w:val="decimal"/>
      <w:lvlText w:val="%4."/>
      <w:lvlJc w:val="left"/>
      <w:pPr>
        <w:ind w:left="2880" w:hanging="360"/>
      </w:pPr>
    </w:lvl>
    <w:lvl w:ilvl="4" w:tplc="2F7CF742" w:tentative="1">
      <w:start w:val="1"/>
      <w:numFmt w:val="lowerLetter"/>
      <w:lvlText w:val="%5."/>
      <w:lvlJc w:val="left"/>
      <w:pPr>
        <w:ind w:left="3600" w:hanging="360"/>
      </w:pPr>
    </w:lvl>
    <w:lvl w:ilvl="5" w:tplc="2C5E7276" w:tentative="1">
      <w:start w:val="1"/>
      <w:numFmt w:val="lowerRoman"/>
      <w:lvlText w:val="%6."/>
      <w:lvlJc w:val="right"/>
      <w:pPr>
        <w:ind w:left="4320" w:hanging="180"/>
      </w:pPr>
    </w:lvl>
    <w:lvl w:ilvl="6" w:tplc="9B1C1EA2" w:tentative="1">
      <w:start w:val="1"/>
      <w:numFmt w:val="decimal"/>
      <w:lvlText w:val="%7."/>
      <w:lvlJc w:val="left"/>
      <w:pPr>
        <w:ind w:left="5040" w:hanging="360"/>
      </w:pPr>
    </w:lvl>
    <w:lvl w:ilvl="7" w:tplc="7EC000B8" w:tentative="1">
      <w:start w:val="1"/>
      <w:numFmt w:val="lowerLetter"/>
      <w:lvlText w:val="%8."/>
      <w:lvlJc w:val="left"/>
      <w:pPr>
        <w:ind w:left="5760" w:hanging="360"/>
      </w:pPr>
    </w:lvl>
    <w:lvl w:ilvl="8" w:tplc="EDF0A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1F1860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59813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B62B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00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0E74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9A35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BC0B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6AF1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6EB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0"/>
          <w:szCs w:val="20"/>
        </w:rPr>
      </w:lvl>
    </w:lvlOverride>
  </w:num>
  <w:num w:numId="4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Wingdings" w:hint="default"/>
          <w:b w:val="0"/>
          <w:bCs w:val="0"/>
          <w:i w:val="0"/>
          <w:iCs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A60D7"/>
    <w:rsid w:val="00030870"/>
    <w:rsid w:val="00036AC0"/>
    <w:rsid w:val="0005111C"/>
    <w:rsid w:val="00063C22"/>
    <w:rsid w:val="001135CB"/>
    <w:rsid w:val="001A7A51"/>
    <w:rsid w:val="001B5972"/>
    <w:rsid w:val="001C7E83"/>
    <w:rsid w:val="00273923"/>
    <w:rsid w:val="002A5C6D"/>
    <w:rsid w:val="002D1BCA"/>
    <w:rsid w:val="002E4350"/>
    <w:rsid w:val="002E64A4"/>
    <w:rsid w:val="002E66A1"/>
    <w:rsid w:val="002F00C6"/>
    <w:rsid w:val="0039025F"/>
    <w:rsid w:val="003F7D30"/>
    <w:rsid w:val="00411A26"/>
    <w:rsid w:val="004274FF"/>
    <w:rsid w:val="004844E8"/>
    <w:rsid w:val="00541090"/>
    <w:rsid w:val="0056755E"/>
    <w:rsid w:val="00571DEE"/>
    <w:rsid w:val="005B6F33"/>
    <w:rsid w:val="00634F64"/>
    <w:rsid w:val="00680DD3"/>
    <w:rsid w:val="006B2552"/>
    <w:rsid w:val="006B4CBE"/>
    <w:rsid w:val="006C40DE"/>
    <w:rsid w:val="006D5301"/>
    <w:rsid w:val="006E260E"/>
    <w:rsid w:val="00773D0A"/>
    <w:rsid w:val="00784F30"/>
    <w:rsid w:val="0078752E"/>
    <w:rsid w:val="007C46AA"/>
    <w:rsid w:val="008407DD"/>
    <w:rsid w:val="00856940"/>
    <w:rsid w:val="00872782"/>
    <w:rsid w:val="00886BA7"/>
    <w:rsid w:val="008B616A"/>
    <w:rsid w:val="008F694B"/>
    <w:rsid w:val="00903245"/>
    <w:rsid w:val="009049B5"/>
    <w:rsid w:val="009437BE"/>
    <w:rsid w:val="009461FB"/>
    <w:rsid w:val="009715B7"/>
    <w:rsid w:val="009B759E"/>
    <w:rsid w:val="00A6097E"/>
    <w:rsid w:val="00A750DE"/>
    <w:rsid w:val="00A81D3E"/>
    <w:rsid w:val="00B67378"/>
    <w:rsid w:val="00B74999"/>
    <w:rsid w:val="00B94F42"/>
    <w:rsid w:val="00BF22D5"/>
    <w:rsid w:val="00C215B7"/>
    <w:rsid w:val="00C2268A"/>
    <w:rsid w:val="00C64377"/>
    <w:rsid w:val="00C75287"/>
    <w:rsid w:val="00C975CE"/>
    <w:rsid w:val="00CA60D7"/>
    <w:rsid w:val="00CD6246"/>
    <w:rsid w:val="00CE42A9"/>
    <w:rsid w:val="00D05B14"/>
    <w:rsid w:val="00DB28F5"/>
    <w:rsid w:val="00DF31A6"/>
    <w:rsid w:val="00E66517"/>
    <w:rsid w:val="00E72485"/>
    <w:rsid w:val="00E86D58"/>
    <w:rsid w:val="00E93E63"/>
    <w:rsid w:val="00EA5D85"/>
    <w:rsid w:val="00EB5E59"/>
    <w:rsid w:val="00EC107F"/>
    <w:rsid w:val="00F37231"/>
    <w:rsid w:val="00F37E33"/>
    <w:rsid w:val="00F56A4D"/>
    <w:rsid w:val="00FA5F3B"/>
    <w:rsid w:val="00FB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436092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Pr>
      <w:lang w:eastAsia="en-US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INTERLIGNE125">
    <w:name w:val="INTERLIGNE 1.25"/>
    <w:uiPriority w:val="99"/>
    <w:pPr>
      <w:keepLines/>
      <w:autoSpaceDE w:val="0"/>
      <w:autoSpaceDN w:val="0"/>
      <w:spacing w:line="300" w:lineRule="exact"/>
      <w:jc w:val="both"/>
    </w:pPr>
    <w:rPr>
      <w:rFonts w:ascii="Courier" w:hAnsi="Courier" w:cs="Courier"/>
      <w:lang w:val="fr-FR" w:eastAsia="cs-CZ"/>
    </w:rPr>
  </w:style>
  <w:style w:type="character" w:styleId="slodku">
    <w:name w:val="line number"/>
    <w:basedOn w:val="Standardnpsmoodstavce"/>
    <w:semiHidden/>
    <w:unhideWhenUsed/>
  </w:style>
  <w:style w:type="character" w:customStyle="1" w:styleId="Zkladntextodsazen2Char">
    <w:name w:val="Základní text odsazený 2 Char"/>
    <w:rPr>
      <w:rFonts w:ascii="Times New Roman" w:eastAsia="Times New Roman" w:hAnsi="Times New Roman" w:cs="Times New Roman"/>
      <w:b/>
      <w:szCs w:val="20"/>
    </w:rPr>
  </w:style>
  <w:style w:type="paragraph" w:styleId="Obsah2">
    <w:name w:val="toc 2"/>
    <w:basedOn w:val="Normln"/>
    <w:next w:val="Normln"/>
    <w:autoRedefine/>
    <w:semiHidden/>
    <w:pPr>
      <w:tabs>
        <w:tab w:val="clear" w:pos="567"/>
      </w:tabs>
      <w:autoSpaceDE w:val="0"/>
      <w:autoSpaceDN w:val="0"/>
      <w:spacing w:line="240" w:lineRule="auto"/>
      <w:jc w:val="center"/>
    </w:pPr>
    <w:rPr>
      <w:b/>
      <w:sz w:val="24"/>
      <w:szCs w:val="24"/>
      <w:lang w:val="fr-FR" w:eastAsia="cs-CZ"/>
    </w:rPr>
  </w:style>
  <w:style w:type="character" w:customStyle="1" w:styleId="TextbublinyChar">
    <w:name w:val="Text bubliny Char"/>
    <w:semiHidden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5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E6CBE-F9FC-4AE8-B6FB-3E468E8F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1378</Words>
  <Characters>8136</Characters>
  <Application>Microsoft Office Word</Application>
  <DocSecurity>0</DocSecurity>
  <Lines>67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47</cp:revision>
  <cp:lastPrinted>2025-09-23T10:51:00Z</cp:lastPrinted>
  <dcterms:created xsi:type="dcterms:W3CDTF">2022-10-26T09:20:00Z</dcterms:created>
  <dcterms:modified xsi:type="dcterms:W3CDTF">2025-09-23T10:51:00Z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