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A2AF" w14:textId="2FCBB8DD" w:rsidR="00C6717E" w:rsidRDefault="007459B9" w:rsidP="00C6717E">
      <w:pPr>
        <w:rPr>
          <w:b/>
          <w:szCs w:val="22"/>
        </w:rPr>
      </w:pPr>
      <w:bookmarkStart w:id="0" w:name="_GoBack"/>
      <w:bookmarkEnd w:id="0"/>
      <w:r w:rsidRPr="007459B9">
        <w:rPr>
          <w:b/>
          <w:szCs w:val="22"/>
        </w:rPr>
        <w:t>1.</w:t>
      </w:r>
      <w:r w:rsidRPr="007459B9">
        <w:rPr>
          <w:b/>
          <w:szCs w:val="22"/>
        </w:rPr>
        <w:tab/>
        <w:t>NÁZEV VETERINÁRNÍHO LÉČIVÉHO PŘÍPRAVKU</w:t>
      </w:r>
    </w:p>
    <w:p w14:paraId="0074CEED" w14:textId="77777777" w:rsidR="007459B9" w:rsidRPr="00591BD8" w:rsidRDefault="007459B9" w:rsidP="00C6717E">
      <w:pPr>
        <w:rPr>
          <w:szCs w:val="22"/>
        </w:rPr>
      </w:pPr>
    </w:p>
    <w:p w14:paraId="2774DE81" w14:textId="77777777" w:rsidR="00C6717E" w:rsidRPr="00591BD8" w:rsidRDefault="00C6717E" w:rsidP="00C6717E">
      <w:pPr>
        <w:ind w:left="0" w:firstLine="0"/>
        <w:rPr>
          <w:szCs w:val="22"/>
        </w:rPr>
      </w:pPr>
      <w:proofErr w:type="spellStart"/>
      <w:r w:rsidRPr="00591BD8">
        <w:rPr>
          <w:szCs w:val="22"/>
        </w:rPr>
        <w:t>Ingelvac</w:t>
      </w:r>
      <w:proofErr w:type="spellEnd"/>
      <w:r w:rsidRPr="00591BD8">
        <w:rPr>
          <w:szCs w:val="22"/>
        </w:rPr>
        <w:t xml:space="preserve"> </w:t>
      </w:r>
      <w:proofErr w:type="spellStart"/>
      <w:r w:rsidRPr="00591BD8">
        <w:rPr>
          <w:rFonts w:cs="Arial"/>
          <w:szCs w:val="22"/>
        </w:rPr>
        <w:t>Myco</w:t>
      </w:r>
      <w:r w:rsidRPr="00591BD8">
        <w:rPr>
          <w:szCs w:val="22"/>
        </w:rPr>
        <w:t>FLEX</w:t>
      </w:r>
      <w:proofErr w:type="spellEnd"/>
      <w:r w:rsidRPr="00591BD8">
        <w:rPr>
          <w:szCs w:val="22"/>
        </w:rPr>
        <w:t xml:space="preserve"> injekční suspenze pro prasata</w:t>
      </w:r>
    </w:p>
    <w:p w14:paraId="4988C6EA" w14:textId="77777777" w:rsidR="00C6717E" w:rsidRPr="00591BD8" w:rsidRDefault="00C6717E" w:rsidP="00C6717E">
      <w:pPr>
        <w:rPr>
          <w:szCs w:val="22"/>
        </w:rPr>
      </w:pPr>
    </w:p>
    <w:p w14:paraId="1F43E6DC" w14:textId="77777777" w:rsidR="00C6717E" w:rsidRPr="00591BD8" w:rsidRDefault="00C6717E" w:rsidP="00C6717E">
      <w:pPr>
        <w:rPr>
          <w:szCs w:val="22"/>
        </w:rPr>
      </w:pPr>
    </w:p>
    <w:p w14:paraId="0D885DCF" w14:textId="6CE10168" w:rsidR="00C6717E" w:rsidRDefault="007459B9" w:rsidP="00C6717E">
      <w:pPr>
        <w:rPr>
          <w:b/>
          <w:szCs w:val="22"/>
        </w:rPr>
      </w:pPr>
      <w:r w:rsidRPr="007459B9">
        <w:rPr>
          <w:b/>
          <w:szCs w:val="22"/>
        </w:rPr>
        <w:t>2.</w:t>
      </w:r>
      <w:r w:rsidRPr="007459B9">
        <w:rPr>
          <w:b/>
          <w:szCs w:val="22"/>
        </w:rPr>
        <w:tab/>
        <w:t>KVALITATIVNÍ A KVANTITATIVNÍ SLOŽENÍ</w:t>
      </w:r>
    </w:p>
    <w:p w14:paraId="0B3F0920" w14:textId="77777777" w:rsidR="007459B9" w:rsidRPr="00591BD8" w:rsidRDefault="007459B9" w:rsidP="00C6717E">
      <w:pPr>
        <w:rPr>
          <w:szCs w:val="22"/>
        </w:rPr>
      </w:pPr>
    </w:p>
    <w:p w14:paraId="019BF168" w14:textId="589E1B4A" w:rsidR="00C6717E" w:rsidRPr="00591BD8" w:rsidRDefault="00C6717E" w:rsidP="00C6717E">
      <w:pPr>
        <w:rPr>
          <w:szCs w:val="22"/>
        </w:rPr>
      </w:pPr>
      <w:r w:rsidRPr="00591BD8">
        <w:rPr>
          <w:szCs w:val="22"/>
        </w:rPr>
        <w:t>Každá dávka 1 ml obsahuje:</w:t>
      </w:r>
    </w:p>
    <w:p w14:paraId="5688E252" w14:textId="77777777" w:rsidR="00C6717E" w:rsidRPr="00591BD8" w:rsidRDefault="00C6717E" w:rsidP="00C6717E">
      <w:pPr>
        <w:rPr>
          <w:szCs w:val="22"/>
        </w:rPr>
      </w:pPr>
    </w:p>
    <w:p w14:paraId="5C5F3ED4" w14:textId="77777777" w:rsidR="00C6717E" w:rsidRPr="00591BD8" w:rsidRDefault="00C6717E" w:rsidP="00C6717E">
      <w:pPr>
        <w:tabs>
          <w:tab w:val="left" w:pos="2835"/>
          <w:tab w:val="left" w:pos="3119"/>
        </w:tabs>
        <w:jc w:val="both"/>
        <w:rPr>
          <w:b/>
          <w:szCs w:val="22"/>
        </w:rPr>
      </w:pPr>
      <w:r w:rsidRPr="00591BD8">
        <w:rPr>
          <w:b/>
          <w:szCs w:val="22"/>
        </w:rPr>
        <w:t>Léčivá látka:</w:t>
      </w:r>
    </w:p>
    <w:p w14:paraId="4CFA248E" w14:textId="7314334F" w:rsidR="00C6717E" w:rsidRPr="00591BD8" w:rsidRDefault="00934FE1" w:rsidP="00C306F6">
      <w:pPr>
        <w:rPr>
          <w:rFonts w:cs="Arial"/>
          <w:szCs w:val="22"/>
        </w:rPr>
      </w:pPr>
      <w:proofErr w:type="spellStart"/>
      <w:r w:rsidRPr="00591BD8">
        <w:rPr>
          <w:i/>
          <w:szCs w:val="22"/>
        </w:rPr>
        <w:t>Mycoplasma</w:t>
      </w:r>
      <w:proofErr w:type="spellEnd"/>
      <w:r w:rsidRPr="00591BD8">
        <w:rPr>
          <w:i/>
          <w:szCs w:val="22"/>
        </w:rPr>
        <w:t xml:space="preserve"> </w:t>
      </w:r>
      <w:proofErr w:type="spellStart"/>
      <w:r w:rsidRPr="00591BD8">
        <w:rPr>
          <w:i/>
          <w:szCs w:val="22"/>
        </w:rPr>
        <w:t>hyopneumoniae</w:t>
      </w:r>
      <w:proofErr w:type="spellEnd"/>
      <w:r w:rsidRPr="00591BD8">
        <w:rPr>
          <w:szCs w:val="22"/>
        </w:rPr>
        <w:t xml:space="preserve">, kmen </w:t>
      </w:r>
      <w:r w:rsidR="00046116">
        <w:rPr>
          <w:szCs w:val="22"/>
        </w:rPr>
        <w:t>J</w:t>
      </w:r>
      <w:r w:rsidR="00F143B1">
        <w:rPr>
          <w:szCs w:val="22"/>
        </w:rPr>
        <w:t>, inaktivovan</w:t>
      </w:r>
      <w:r w:rsidR="009E1B16">
        <w:rPr>
          <w:szCs w:val="22"/>
        </w:rPr>
        <w:t>ý</w:t>
      </w:r>
      <w:proofErr w:type="gramStart"/>
      <w:r w:rsidR="00C6717E" w:rsidRPr="00591BD8">
        <w:rPr>
          <w:rFonts w:cs="Arial"/>
          <w:iCs/>
          <w:szCs w:val="22"/>
        </w:rPr>
        <w:t>:</w:t>
      </w:r>
      <w:r w:rsidR="00DC1CBA">
        <w:rPr>
          <w:rFonts w:cs="Arial"/>
          <w:szCs w:val="22"/>
        </w:rPr>
        <w:t xml:space="preserve"> </w:t>
      </w:r>
      <w:r w:rsidR="00C6717E" w:rsidRPr="00591BD8">
        <w:rPr>
          <w:rFonts w:cs="Arial"/>
          <w:szCs w:val="22"/>
          <w:u w:val="single"/>
        </w:rPr>
        <w:t>&gt;</w:t>
      </w:r>
      <w:proofErr w:type="gramEnd"/>
      <w:r w:rsidR="00C6717E" w:rsidRPr="00591BD8">
        <w:rPr>
          <w:rFonts w:cs="Arial"/>
          <w:szCs w:val="22"/>
        </w:rPr>
        <w:t xml:space="preserve"> 1 RP*</w:t>
      </w:r>
    </w:p>
    <w:p w14:paraId="658DBA5E" w14:textId="77777777" w:rsidR="00C306F6" w:rsidRDefault="00C306F6" w:rsidP="00DA2B7E">
      <w:pPr>
        <w:tabs>
          <w:tab w:val="left" w:pos="2977"/>
        </w:tabs>
        <w:rPr>
          <w:szCs w:val="22"/>
        </w:rPr>
      </w:pPr>
    </w:p>
    <w:p w14:paraId="335937C0" w14:textId="69014AB8" w:rsidR="00C6717E" w:rsidRPr="00591BD8" w:rsidRDefault="00C6717E" w:rsidP="00DA2B7E">
      <w:pPr>
        <w:tabs>
          <w:tab w:val="left" w:pos="2977"/>
        </w:tabs>
        <w:rPr>
          <w:szCs w:val="22"/>
        </w:rPr>
      </w:pPr>
      <w:r w:rsidRPr="00591BD8">
        <w:rPr>
          <w:szCs w:val="22"/>
        </w:rPr>
        <w:t xml:space="preserve">* </w:t>
      </w:r>
      <w:r w:rsidR="00C306F6">
        <w:rPr>
          <w:szCs w:val="22"/>
        </w:rPr>
        <w:t>R</w:t>
      </w:r>
      <w:r w:rsidRPr="00591BD8">
        <w:rPr>
          <w:szCs w:val="22"/>
        </w:rPr>
        <w:t>elativní potence (ELISA test) ve srovnání s referenční vakcínou</w:t>
      </w:r>
      <w:r w:rsidR="00C306F6">
        <w:rPr>
          <w:szCs w:val="22"/>
        </w:rPr>
        <w:t>.</w:t>
      </w:r>
    </w:p>
    <w:p w14:paraId="00BC8444" w14:textId="77777777" w:rsidR="00C6717E" w:rsidRPr="00591BD8" w:rsidRDefault="00C6717E" w:rsidP="00C6717E">
      <w:pPr>
        <w:tabs>
          <w:tab w:val="left" w:pos="1701"/>
        </w:tabs>
        <w:rPr>
          <w:iCs/>
          <w:szCs w:val="22"/>
        </w:rPr>
      </w:pPr>
    </w:p>
    <w:p w14:paraId="5B2ACB11" w14:textId="77777777" w:rsidR="00C6717E" w:rsidRPr="00591BD8" w:rsidRDefault="00C6717E" w:rsidP="00C6717E">
      <w:pPr>
        <w:rPr>
          <w:szCs w:val="22"/>
        </w:rPr>
      </w:pPr>
      <w:r w:rsidRPr="00591BD8">
        <w:rPr>
          <w:b/>
          <w:szCs w:val="22"/>
        </w:rPr>
        <w:t>Adjuvans:</w:t>
      </w:r>
      <w:r w:rsidRPr="00591BD8">
        <w:rPr>
          <w:szCs w:val="22"/>
        </w:rPr>
        <w:t xml:space="preserve"> </w:t>
      </w:r>
    </w:p>
    <w:p w14:paraId="13BD2505" w14:textId="719C59C5" w:rsidR="00C6717E" w:rsidRPr="00591BD8" w:rsidRDefault="00C6717E" w:rsidP="00C6717E">
      <w:pPr>
        <w:tabs>
          <w:tab w:val="left" w:pos="2977"/>
        </w:tabs>
        <w:rPr>
          <w:szCs w:val="22"/>
        </w:rPr>
      </w:pPr>
      <w:proofErr w:type="spellStart"/>
      <w:r w:rsidRPr="00591BD8">
        <w:rPr>
          <w:szCs w:val="22"/>
        </w:rPr>
        <w:t>Karbomer</w:t>
      </w:r>
      <w:proofErr w:type="spellEnd"/>
      <w:r w:rsidR="00C306F6">
        <w:rPr>
          <w:szCs w:val="22"/>
        </w:rPr>
        <w:t xml:space="preserve">: </w:t>
      </w:r>
      <w:r w:rsidRPr="00591BD8">
        <w:rPr>
          <w:szCs w:val="22"/>
        </w:rPr>
        <w:t>1 mg</w:t>
      </w:r>
    </w:p>
    <w:p w14:paraId="5A41E796" w14:textId="77777777" w:rsidR="00C6717E" w:rsidRPr="00591BD8" w:rsidRDefault="00C6717E" w:rsidP="00C6717E">
      <w:pPr>
        <w:rPr>
          <w:szCs w:val="22"/>
        </w:rPr>
      </w:pPr>
    </w:p>
    <w:p w14:paraId="423CF94F" w14:textId="6F5DC771" w:rsidR="00C306F6" w:rsidRPr="00B41D57" w:rsidRDefault="00C306F6" w:rsidP="00C306F6">
      <w:pPr>
        <w:ind w:left="0" w:firstLine="0"/>
        <w:rPr>
          <w:szCs w:val="22"/>
        </w:rPr>
      </w:pPr>
      <w:r w:rsidRPr="00B41D57">
        <w:rPr>
          <w:b/>
          <w:szCs w:val="22"/>
        </w:rPr>
        <w:t>Pomocné látky:</w:t>
      </w:r>
    </w:p>
    <w:p w14:paraId="38353353" w14:textId="77777777" w:rsidR="00C306F6" w:rsidRPr="00B41D57" w:rsidRDefault="00C306F6" w:rsidP="00C306F6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</w:tblGrid>
      <w:tr w:rsidR="00C306F6" w14:paraId="3C226CAE" w14:textId="77777777" w:rsidTr="00C306F6">
        <w:tc>
          <w:tcPr>
            <w:tcW w:w="5807" w:type="dxa"/>
            <w:shd w:val="clear" w:color="auto" w:fill="auto"/>
            <w:vAlign w:val="center"/>
          </w:tcPr>
          <w:p w14:paraId="6BFED902" w14:textId="7A2CCC92" w:rsidR="00C306F6" w:rsidRPr="00B41D57" w:rsidRDefault="00C306F6" w:rsidP="00B5124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306F6" w14:paraId="4A6C3F58" w14:textId="77777777" w:rsidTr="00C306F6">
        <w:tc>
          <w:tcPr>
            <w:tcW w:w="5807" w:type="dxa"/>
            <w:shd w:val="clear" w:color="auto" w:fill="auto"/>
            <w:vAlign w:val="center"/>
          </w:tcPr>
          <w:p w14:paraId="0FB02622" w14:textId="1D04CF95" w:rsidR="00C306F6" w:rsidRPr="00B41D57" w:rsidRDefault="00C306F6" w:rsidP="00B5124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</w:tr>
      <w:tr w:rsidR="00C306F6" w14:paraId="4A662478" w14:textId="77777777" w:rsidTr="00C306F6">
        <w:tc>
          <w:tcPr>
            <w:tcW w:w="5807" w:type="dxa"/>
            <w:shd w:val="clear" w:color="auto" w:fill="auto"/>
            <w:vAlign w:val="center"/>
          </w:tcPr>
          <w:p w14:paraId="35C6F919" w14:textId="385AA735" w:rsidR="00C306F6" w:rsidRPr="00B41D57" w:rsidRDefault="00C306F6" w:rsidP="00B5124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</w:tr>
    </w:tbl>
    <w:p w14:paraId="612376E2" w14:textId="77777777" w:rsidR="008D4C05" w:rsidRPr="00591BD8" w:rsidRDefault="008D4C05" w:rsidP="00C6717E">
      <w:pPr>
        <w:rPr>
          <w:b/>
        </w:rPr>
      </w:pPr>
    </w:p>
    <w:p w14:paraId="6D27FE91" w14:textId="4E30ACEF" w:rsidR="00C6717E" w:rsidRPr="00591BD8" w:rsidRDefault="00C6717E" w:rsidP="00C6717E">
      <w:pPr>
        <w:rPr>
          <w:szCs w:val="22"/>
        </w:rPr>
      </w:pPr>
      <w:r w:rsidRPr="00591BD8">
        <w:rPr>
          <w:szCs w:val="22"/>
        </w:rPr>
        <w:t>Čirá</w:t>
      </w:r>
      <w:r w:rsidR="00C306F6">
        <w:rPr>
          <w:szCs w:val="22"/>
        </w:rPr>
        <w:t xml:space="preserve"> až</w:t>
      </w:r>
      <w:r w:rsidRPr="00591BD8">
        <w:rPr>
          <w:szCs w:val="22"/>
        </w:rPr>
        <w:t xml:space="preserve"> jemně opaleskující, růžov</w:t>
      </w:r>
      <w:r w:rsidR="005F1BB4" w:rsidRPr="00591BD8">
        <w:rPr>
          <w:szCs w:val="22"/>
        </w:rPr>
        <w:t xml:space="preserve">á až </w:t>
      </w:r>
      <w:r w:rsidRPr="00591BD8">
        <w:rPr>
          <w:szCs w:val="22"/>
        </w:rPr>
        <w:t>hnědá suspenze.</w:t>
      </w:r>
    </w:p>
    <w:p w14:paraId="325DE41B" w14:textId="77777777" w:rsidR="00C6717E" w:rsidRPr="00591BD8" w:rsidRDefault="00C6717E" w:rsidP="00C6717E">
      <w:pPr>
        <w:rPr>
          <w:szCs w:val="22"/>
        </w:rPr>
      </w:pPr>
    </w:p>
    <w:p w14:paraId="5704BB25" w14:textId="77777777" w:rsidR="00C6717E" w:rsidRPr="00591BD8" w:rsidRDefault="00C6717E" w:rsidP="00C6717E">
      <w:pPr>
        <w:rPr>
          <w:szCs w:val="22"/>
        </w:rPr>
      </w:pPr>
    </w:p>
    <w:p w14:paraId="63197297" w14:textId="77777777" w:rsidR="007459B9" w:rsidRPr="00B41D57" w:rsidRDefault="007459B9" w:rsidP="007459B9">
      <w:pPr>
        <w:pStyle w:val="Style1"/>
      </w:pPr>
      <w:r w:rsidRPr="00B41D57">
        <w:t>3.</w:t>
      </w:r>
      <w:r w:rsidRPr="00B41D57">
        <w:tab/>
        <w:t>KLINICKÉ INFORMACE</w:t>
      </w:r>
    </w:p>
    <w:p w14:paraId="03F42407" w14:textId="77777777" w:rsidR="00C6717E" w:rsidRPr="00591BD8" w:rsidRDefault="00C6717E" w:rsidP="00C6717E">
      <w:pPr>
        <w:rPr>
          <w:szCs w:val="22"/>
        </w:rPr>
      </w:pPr>
    </w:p>
    <w:p w14:paraId="6695B98A" w14:textId="77777777" w:rsidR="007459B9" w:rsidRPr="00B41D57" w:rsidRDefault="007459B9" w:rsidP="007459B9">
      <w:pPr>
        <w:pStyle w:val="Style1"/>
      </w:pPr>
      <w:r w:rsidRPr="00B41D57">
        <w:t>3.1</w:t>
      </w:r>
      <w:r w:rsidRPr="00B41D57">
        <w:tab/>
        <w:t>Cílové druhy zvířat</w:t>
      </w:r>
    </w:p>
    <w:p w14:paraId="2E355C79" w14:textId="77777777" w:rsidR="00C6717E" w:rsidRPr="00591BD8" w:rsidRDefault="00C6717E" w:rsidP="00C6717E">
      <w:pPr>
        <w:rPr>
          <w:szCs w:val="22"/>
        </w:rPr>
      </w:pPr>
    </w:p>
    <w:p w14:paraId="50295FB4" w14:textId="77777777" w:rsidR="00C6717E" w:rsidRPr="00591BD8" w:rsidRDefault="00C6717E" w:rsidP="00C6717E">
      <w:pPr>
        <w:ind w:left="0" w:firstLine="0"/>
        <w:rPr>
          <w:szCs w:val="22"/>
        </w:rPr>
      </w:pPr>
      <w:r w:rsidRPr="00591BD8">
        <w:rPr>
          <w:szCs w:val="22"/>
        </w:rPr>
        <w:t>Prasata (prasata ve výkrmu nebo</w:t>
      </w:r>
      <w:r w:rsidRPr="00591BD8">
        <w:rPr>
          <w:color w:val="FF0000"/>
          <w:szCs w:val="22"/>
        </w:rPr>
        <w:t xml:space="preserve"> </w:t>
      </w:r>
      <w:r w:rsidRPr="00591BD8">
        <w:rPr>
          <w:szCs w:val="22"/>
        </w:rPr>
        <w:t>budoucí chovná prasata do první reprodukce).</w:t>
      </w:r>
    </w:p>
    <w:p w14:paraId="5E495CBF" w14:textId="77777777" w:rsidR="00C6717E" w:rsidRPr="00591BD8" w:rsidRDefault="00C6717E" w:rsidP="00C6717E">
      <w:pPr>
        <w:rPr>
          <w:szCs w:val="22"/>
        </w:rPr>
      </w:pPr>
    </w:p>
    <w:p w14:paraId="7A5FD8A4" w14:textId="77777777" w:rsidR="007459B9" w:rsidRPr="00B41D57" w:rsidRDefault="007459B9" w:rsidP="007459B9">
      <w:pPr>
        <w:pStyle w:val="Style1"/>
      </w:pPr>
      <w:r w:rsidRPr="00B41D57">
        <w:t>3.2</w:t>
      </w:r>
      <w:r w:rsidRPr="00B41D57">
        <w:tab/>
        <w:t>Indikace pro použití pro každý cílový druh zvíř</w:t>
      </w:r>
      <w:r>
        <w:t>at</w:t>
      </w:r>
    </w:p>
    <w:p w14:paraId="7905CCAF" w14:textId="77777777" w:rsidR="00C6717E" w:rsidRPr="00591BD8" w:rsidRDefault="00C6717E" w:rsidP="00C6717E">
      <w:pPr>
        <w:ind w:left="0" w:firstLine="0"/>
        <w:rPr>
          <w:szCs w:val="22"/>
        </w:rPr>
      </w:pPr>
    </w:p>
    <w:p w14:paraId="6E8A4464" w14:textId="3C672132" w:rsidR="00C6717E" w:rsidRPr="00591BD8" w:rsidRDefault="00C6717E" w:rsidP="00C6717E">
      <w:pPr>
        <w:ind w:left="0" w:firstLine="0"/>
        <w:rPr>
          <w:szCs w:val="22"/>
        </w:rPr>
      </w:pPr>
      <w:r w:rsidRPr="00591BD8">
        <w:rPr>
          <w:szCs w:val="22"/>
        </w:rPr>
        <w:t xml:space="preserve">K aktivní imunizaci prasat od 3 týdnů </w:t>
      </w:r>
      <w:r w:rsidR="00046116">
        <w:rPr>
          <w:szCs w:val="22"/>
        </w:rPr>
        <w:t>věku</w:t>
      </w:r>
      <w:r w:rsidR="00046116" w:rsidRPr="00591BD8">
        <w:rPr>
          <w:szCs w:val="22"/>
        </w:rPr>
        <w:t xml:space="preserve"> </w:t>
      </w:r>
      <w:r w:rsidRPr="00591BD8">
        <w:rPr>
          <w:szCs w:val="22"/>
        </w:rPr>
        <w:t xml:space="preserve">k redukci plicních lézí způsobených infekcemi vyvolanými </w:t>
      </w:r>
      <w:proofErr w:type="spellStart"/>
      <w:r w:rsidRPr="00591BD8">
        <w:rPr>
          <w:rFonts w:cs="Arial"/>
          <w:i/>
          <w:szCs w:val="22"/>
        </w:rPr>
        <w:t>Mycoplasma</w:t>
      </w:r>
      <w:proofErr w:type="spellEnd"/>
      <w:r w:rsidRPr="00591BD8">
        <w:rPr>
          <w:rFonts w:cs="Arial"/>
          <w:i/>
          <w:szCs w:val="22"/>
        </w:rPr>
        <w:t xml:space="preserve"> </w:t>
      </w:r>
      <w:proofErr w:type="spellStart"/>
      <w:r w:rsidRPr="00591BD8">
        <w:rPr>
          <w:rFonts w:cs="Arial"/>
          <w:i/>
          <w:szCs w:val="22"/>
        </w:rPr>
        <w:t>hyopneumoniae</w:t>
      </w:r>
      <w:proofErr w:type="spellEnd"/>
      <w:r w:rsidRPr="00591BD8">
        <w:rPr>
          <w:rFonts w:cs="Arial"/>
          <w:szCs w:val="22"/>
        </w:rPr>
        <w:t>.</w:t>
      </w:r>
      <w:r w:rsidRPr="00591BD8">
        <w:rPr>
          <w:szCs w:val="22"/>
        </w:rPr>
        <w:t xml:space="preserve"> </w:t>
      </w:r>
    </w:p>
    <w:p w14:paraId="496EA30B" w14:textId="77777777" w:rsidR="00DA2B7E" w:rsidRPr="00591BD8" w:rsidRDefault="00DA2B7E" w:rsidP="00C6717E">
      <w:pPr>
        <w:rPr>
          <w:szCs w:val="22"/>
        </w:rPr>
      </w:pPr>
    </w:p>
    <w:p w14:paraId="3471BA6F" w14:textId="5DF7E08A" w:rsidR="00DA2B7E" w:rsidRPr="00591BD8" w:rsidRDefault="00DA2B7E" w:rsidP="00C6717E">
      <w:pPr>
        <w:rPr>
          <w:szCs w:val="22"/>
        </w:rPr>
      </w:pPr>
      <w:r w:rsidRPr="00591BD8">
        <w:rPr>
          <w:szCs w:val="22"/>
        </w:rPr>
        <w:t>Nástup imunity:</w:t>
      </w:r>
      <w:r w:rsidRPr="00591BD8">
        <w:rPr>
          <w:szCs w:val="22"/>
        </w:rPr>
        <w:tab/>
        <w:t>2 týdny po vakcinaci</w:t>
      </w:r>
      <w:r w:rsidR="00792EBE">
        <w:rPr>
          <w:szCs w:val="22"/>
        </w:rPr>
        <w:t>.</w:t>
      </w:r>
    </w:p>
    <w:p w14:paraId="0A09FB36" w14:textId="231F3856" w:rsidR="00DA2B7E" w:rsidRPr="00591BD8" w:rsidRDefault="00DA2B7E" w:rsidP="00C6717E">
      <w:pPr>
        <w:rPr>
          <w:szCs w:val="22"/>
        </w:rPr>
      </w:pPr>
      <w:r w:rsidRPr="00591BD8">
        <w:rPr>
          <w:szCs w:val="22"/>
        </w:rPr>
        <w:t>Trvání imunity:</w:t>
      </w:r>
      <w:r w:rsidRPr="00591BD8">
        <w:rPr>
          <w:szCs w:val="22"/>
        </w:rPr>
        <w:tab/>
        <w:t>26 týdnů</w:t>
      </w:r>
      <w:r w:rsidR="00792EBE">
        <w:rPr>
          <w:szCs w:val="22"/>
        </w:rPr>
        <w:t>.</w:t>
      </w:r>
    </w:p>
    <w:p w14:paraId="3BF6F3A6" w14:textId="77777777" w:rsidR="00C6717E" w:rsidRPr="00591BD8" w:rsidRDefault="00C6717E" w:rsidP="00C6717E">
      <w:pPr>
        <w:rPr>
          <w:szCs w:val="22"/>
        </w:rPr>
      </w:pPr>
    </w:p>
    <w:p w14:paraId="4F06F606" w14:textId="77777777" w:rsidR="007459B9" w:rsidRPr="00B41D57" w:rsidRDefault="007459B9" w:rsidP="007459B9">
      <w:pPr>
        <w:pStyle w:val="Style1"/>
      </w:pPr>
      <w:r w:rsidRPr="00B41D57">
        <w:t>3.3</w:t>
      </w:r>
      <w:r w:rsidRPr="00B41D57">
        <w:tab/>
        <w:t>Kontraindikace</w:t>
      </w:r>
    </w:p>
    <w:p w14:paraId="45A30F1F" w14:textId="77777777" w:rsidR="00C6717E" w:rsidRPr="00591BD8" w:rsidRDefault="00C6717E" w:rsidP="00C6717E">
      <w:pPr>
        <w:rPr>
          <w:szCs w:val="22"/>
        </w:rPr>
      </w:pPr>
    </w:p>
    <w:p w14:paraId="1B87ECA2" w14:textId="77777777" w:rsidR="00C6717E" w:rsidRPr="00591BD8" w:rsidRDefault="00C6717E" w:rsidP="00C6717E">
      <w:pPr>
        <w:rPr>
          <w:szCs w:val="22"/>
        </w:rPr>
      </w:pPr>
      <w:r w:rsidRPr="00591BD8">
        <w:rPr>
          <w:szCs w:val="22"/>
        </w:rPr>
        <w:t>Nejsou.</w:t>
      </w:r>
    </w:p>
    <w:p w14:paraId="488DCA8F" w14:textId="77777777" w:rsidR="00C6717E" w:rsidRPr="00591BD8" w:rsidRDefault="00C6717E" w:rsidP="00C6717E">
      <w:pPr>
        <w:rPr>
          <w:szCs w:val="22"/>
        </w:rPr>
      </w:pPr>
    </w:p>
    <w:p w14:paraId="471B5470" w14:textId="77777777" w:rsidR="007459B9" w:rsidRPr="00B41D57" w:rsidRDefault="007459B9" w:rsidP="007459B9">
      <w:pPr>
        <w:pStyle w:val="Style1"/>
      </w:pPr>
      <w:r w:rsidRPr="00B41D57">
        <w:t>3.4</w:t>
      </w:r>
      <w:r w:rsidRPr="00B41D57">
        <w:tab/>
        <w:t>Zvláštní upozornění</w:t>
      </w:r>
    </w:p>
    <w:p w14:paraId="67A4674E" w14:textId="77777777" w:rsidR="00C6717E" w:rsidRPr="00591BD8" w:rsidRDefault="00C6717E" w:rsidP="00C6717E">
      <w:pPr>
        <w:rPr>
          <w:szCs w:val="22"/>
        </w:rPr>
      </w:pPr>
    </w:p>
    <w:p w14:paraId="291C01FE" w14:textId="77777777" w:rsidR="005E47A0" w:rsidRPr="00591BD8" w:rsidRDefault="00DA2B7E" w:rsidP="00C6717E">
      <w:pPr>
        <w:rPr>
          <w:szCs w:val="22"/>
        </w:rPr>
      </w:pPr>
      <w:r w:rsidRPr="00591BD8">
        <w:rPr>
          <w:szCs w:val="22"/>
        </w:rPr>
        <w:t>Vakcinovat pouze zdravá zvířata.</w:t>
      </w:r>
    </w:p>
    <w:p w14:paraId="328531E9" w14:textId="77777777" w:rsidR="00C6717E" w:rsidRPr="00591BD8" w:rsidRDefault="00C6717E" w:rsidP="00C6717E">
      <w:pPr>
        <w:rPr>
          <w:szCs w:val="22"/>
        </w:rPr>
      </w:pPr>
    </w:p>
    <w:p w14:paraId="50E973CB" w14:textId="77777777" w:rsidR="007459B9" w:rsidRPr="00B41D57" w:rsidRDefault="007459B9" w:rsidP="007459B9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DC5BC97" w14:textId="77777777" w:rsidR="00C6717E" w:rsidRPr="00591BD8" w:rsidRDefault="00C6717E" w:rsidP="00C6717E">
      <w:pPr>
        <w:rPr>
          <w:szCs w:val="22"/>
        </w:rPr>
      </w:pPr>
    </w:p>
    <w:p w14:paraId="6B1B3013" w14:textId="77777777" w:rsidR="007459B9" w:rsidRPr="00B41D57" w:rsidRDefault="007459B9" w:rsidP="007459B9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E8D19D7" w14:textId="56BCE350" w:rsidR="00064C81" w:rsidRPr="00591BD8" w:rsidRDefault="00336B87" w:rsidP="00C6717E">
      <w:pPr>
        <w:rPr>
          <w:szCs w:val="22"/>
        </w:rPr>
      </w:pPr>
      <w:r>
        <w:rPr>
          <w:rFonts w:cs="Arial"/>
          <w:szCs w:val="22"/>
        </w:rPr>
        <w:t>Neuplatňuje se.</w:t>
      </w:r>
    </w:p>
    <w:p w14:paraId="2CA22055" w14:textId="77777777" w:rsidR="00C6717E" w:rsidRPr="00591BD8" w:rsidRDefault="00C6717E" w:rsidP="00C6717E">
      <w:pPr>
        <w:ind w:left="0" w:firstLine="0"/>
        <w:rPr>
          <w:szCs w:val="22"/>
        </w:rPr>
      </w:pPr>
    </w:p>
    <w:p w14:paraId="6845E297" w14:textId="77777777" w:rsidR="007459B9" w:rsidRDefault="007459B9" w:rsidP="00C6717E">
      <w:pPr>
        <w:ind w:left="0" w:firstLine="0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58FCCC8C" w14:textId="5C05DEEC" w:rsidR="005E47A0" w:rsidRDefault="00D27167" w:rsidP="00C6717E">
      <w:pPr>
        <w:ind w:left="0" w:firstLine="0"/>
        <w:rPr>
          <w:szCs w:val="22"/>
        </w:rPr>
      </w:pPr>
      <w:r w:rsidRPr="00591BD8">
        <w:rPr>
          <w:szCs w:val="22"/>
        </w:rPr>
        <w:t>Neuplatňuje se</w:t>
      </w:r>
      <w:r w:rsidR="00C6717E" w:rsidRPr="00591BD8">
        <w:rPr>
          <w:szCs w:val="22"/>
        </w:rPr>
        <w:t>.</w:t>
      </w:r>
    </w:p>
    <w:p w14:paraId="7F7A61B6" w14:textId="77777777" w:rsidR="00792EBE" w:rsidRPr="00591BD8" w:rsidRDefault="00792EBE" w:rsidP="00C6717E">
      <w:pPr>
        <w:ind w:left="0" w:firstLine="0"/>
        <w:rPr>
          <w:szCs w:val="22"/>
        </w:rPr>
      </w:pPr>
    </w:p>
    <w:p w14:paraId="4817B12E" w14:textId="77777777" w:rsidR="00792EBE" w:rsidRPr="00B41D57" w:rsidRDefault="00792EBE" w:rsidP="00792EBE">
      <w:pPr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5E01C60" w14:textId="6594A9C3" w:rsidR="00792EBE" w:rsidRPr="00B41D57" w:rsidRDefault="00792EBE" w:rsidP="00792EBE">
      <w:pPr>
        <w:ind w:left="0" w:firstLine="0"/>
        <w:rPr>
          <w:szCs w:val="22"/>
        </w:rPr>
      </w:pPr>
      <w:r w:rsidRPr="00B41D57">
        <w:t>Neuplatňuje se.</w:t>
      </w:r>
    </w:p>
    <w:p w14:paraId="753FECE0" w14:textId="77777777" w:rsidR="00C6717E" w:rsidRPr="00591BD8" w:rsidRDefault="00C6717E" w:rsidP="00C6717E">
      <w:pPr>
        <w:ind w:left="0" w:firstLine="0"/>
        <w:rPr>
          <w:b/>
          <w:szCs w:val="22"/>
        </w:rPr>
      </w:pPr>
    </w:p>
    <w:p w14:paraId="55C7650E" w14:textId="77777777" w:rsidR="007459B9" w:rsidRPr="00B41D57" w:rsidRDefault="007459B9" w:rsidP="007459B9">
      <w:pPr>
        <w:pStyle w:val="Style1"/>
      </w:pPr>
      <w:r w:rsidRPr="00B41D57">
        <w:t>3.6</w:t>
      </w:r>
      <w:r w:rsidRPr="00B41D57">
        <w:tab/>
        <w:t>Nežádoucí účinky</w:t>
      </w:r>
    </w:p>
    <w:p w14:paraId="36429812" w14:textId="77777777" w:rsidR="00C6717E" w:rsidRPr="00591BD8" w:rsidRDefault="00C6717E" w:rsidP="00C6717E">
      <w:pPr>
        <w:rPr>
          <w:b/>
          <w:szCs w:val="22"/>
        </w:rPr>
      </w:pPr>
    </w:p>
    <w:p w14:paraId="3D569F03" w14:textId="77777777" w:rsidR="00792EBE" w:rsidRDefault="00792EBE" w:rsidP="00C6717E">
      <w:pPr>
        <w:ind w:left="0" w:firstLine="0"/>
        <w:rPr>
          <w:szCs w:val="22"/>
        </w:rPr>
      </w:pPr>
      <w:r>
        <w:rPr>
          <w:szCs w:val="22"/>
        </w:rPr>
        <w:t>Prasata:</w:t>
      </w:r>
    </w:p>
    <w:p w14:paraId="0587D5F4" w14:textId="77777777" w:rsidR="00792EBE" w:rsidRDefault="00792EBE" w:rsidP="00C6717E">
      <w:pPr>
        <w:ind w:left="0" w:firstLine="0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3964"/>
      </w:tblGrid>
      <w:tr w:rsidR="00792EBE" w:rsidRPr="00B41D57" w14:paraId="0A21A4B0" w14:textId="77777777" w:rsidTr="00045679">
        <w:tc>
          <w:tcPr>
            <w:tcW w:w="2813" w:type="pct"/>
          </w:tcPr>
          <w:p w14:paraId="35C4E681" w14:textId="77777777" w:rsidR="00792EBE" w:rsidRPr="00B41D57" w:rsidRDefault="00792EBE" w:rsidP="00B5124D">
            <w:pPr>
              <w:spacing w:before="60" w:after="60"/>
              <w:rPr>
                <w:szCs w:val="22"/>
              </w:rPr>
            </w:pPr>
            <w:bookmarkStart w:id="1" w:name="_Hlk188427898"/>
            <w:r w:rsidRPr="00B41D57">
              <w:t>Velmi vzácné</w:t>
            </w:r>
          </w:p>
          <w:p w14:paraId="53214A70" w14:textId="77777777" w:rsidR="008D4C05" w:rsidRDefault="00792EBE" w:rsidP="00B5124D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</w:t>
            </w:r>
            <w:r w:rsidR="008D4C05">
              <w:t xml:space="preserve"> </w:t>
            </w:r>
          </w:p>
          <w:p w14:paraId="5DCBB9A1" w14:textId="0CCFC660" w:rsidR="00792EBE" w:rsidRPr="00B41D57" w:rsidRDefault="00792EBE" w:rsidP="00B5124D">
            <w:pPr>
              <w:spacing w:before="60" w:after="60"/>
              <w:rPr>
                <w:szCs w:val="22"/>
              </w:rPr>
            </w:pPr>
            <w:r w:rsidRPr="00B41D57">
              <w:t>ojedinělých hlášení):</w:t>
            </w:r>
          </w:p>
        </w:tc>
        <w:tc>
          <w:tcPr>
            <w:tcW w:w="2187" w:type="pct"/>
            <w:hideMark/>
          </w:tcPr>
          <w:p w14:paraId="393F90D1" w14:textId="7E06053C" w:rsidR="00792EBE" w:rsidRPr="00F51828" w:rsidRDefault="00792EBE" w:rsidP="00792EBE">
            <w:pPr>
              <w:pStyle w:val="Zkladntext"/>
              <w:spacing w:before="60" w:after="60" w:line="260" w:lineRule="exact"/>
            </w:pPr>
            <w:r w:rsidRPr="00F51828">
              <w:t>Anaphylax</w:t>
            </w:r>
            <w:r>
              <w:t>e</w:t>
            </w:r>
            <w:r w:rsidRPr="00F51828">
              <w:rPr>
                <w:vertAlign w:val="superscript"/>
              </w:rPr>
              <w:t>1</w:t>
            </w:r>
          </w:p>
          <w:p w14:paraId="56A36150" w14:textId="1BD5B70F" w:rsidR="00792EBE" w:rsidRPr="00F51828" w:rsidRDefault="00792EBE" w:rsidP="00792EBE">
            <w:pPr>
              <w:pStyle w:val="Zkladntext"/>
              <w:spacing w:before="60" w:after="60" w:line="260" w:lineRule="exact"/>
            </w:pPr>
            <w:r>
              <w:t>Otok v místě injekčního podání</w:t>
            </w:r>
            <w:r w:rsidRPr="00F51828">
              <w:rPr>
                <w:vertAlign w:val="superscript"/>
              </w:rPr>
              <w:t>2</w:t>
            </w:r>
          </w:p>
          <w:p w14:paraId="54D92D87" w14:textId="0F1BEB13" w:rsidR="00792EBE" w:rsidRPr="00F51828" w:rsidRDefault="00792EBE" w:rsidP="00792EBE">
            <w:pPr>
              <w:pStyle w:val="Zkladntext"/>
              <w:spacing w:before="60" w:after="60" w:line="260" w:lineRule="exact"/>
            </w:pPr>
            <w:r>
              <w:t>Zčervenání v místě injekčního podání</w:t>
            </w:r>
            <w:r w:rsidRPr="00F51828">
              <w:rPr>
                <w:vertAlign w:val="superscript"/>
              </w:rPr>
              <w:t>3</w:t>
            </w:r>
          </w:p>
          <w:p w14:paraId="6B9D3C5D" w14:textId="6B7AA22D" w:rsidR="00792EBE" w:rsidRPr="00B41D57" w:rsidRDefault="00792EBE" w:rsidP="00792EBE">
            <w:pPr>
              <w:spacing w:before="60" w:after="60"/>
              <w:rPr>
                <w:iCs/>
                <w:szCs w:val="22"/>
              </w:rPr>
            </w:pPr>
            <w:r>
              <w:rPr>
                <w:bCs/>
                <w:iCs/>
                <w:szCs w:val="22"/>
                <w:lang w:eastAsia="de-DE"/>
              </w:rPr>
              <w:t>Zvýšená teplota</w:t>
            </w:r>
            <w:r w:rsidRPr="00F51828">
              <w:rPr>
                <w:bCs/>
                <w:iCs/>
                <w:szCs w:val="22"/>
                <w:vertAlign w:val="superscript"/>
                <w:lang w:eastAsia="de-DE"/>
              </w:rPr>
              <w:t>4</w:t>
            </w:r>
          </w:p>
        </w:tc>
      </w:tr>
    </w:tbl>
    <w:p w14:paraId="199B67F4" w14:textId="77777777" w:rsidR="008D4C05" w:rsidRPr="00591BD8" w:rsidRDefault="008D4C05" w:rsidP="00C614E4">
      <w:pPr>
        <w:rPr>
          <w:szCs w:val="22"/>
        </w:rPr>
      </w:pPr>
    </w:p>
    <w:p w14:paraId="677B57E8" w14:textId="58391A90" w:rsidR="00C6717E" w:rsidRPr="00B267F5" w:rsidRDefault="00165EE1" w:rsidP="00C614E4">
      <w:pPr>
        <w:rPr>
          <w:sz w:val="20"/>
        </w:rPr>
      </w:pPr>
      <w:r w:rsidRPr="00B267F5">
        <w:rPr>
          <w:sz w:val="20"/>
          <w:vertAlign w:val="superscript"/>
        </w:rPr>
        <w:t>1</w:t>
      </w:r>
      <w:r w:rsidR="00772428" w:rsidRPr="00B267F5">
        <w:rPr>
          <w:sz w:val="20"/>
        </w:rPr>
        <w:tab/>
      </w:r>
      <w:r w:rsidR="001E21D3" w:rsidRPr="00B267F5">
        <w:rPr>
          <w:sz w:val="20"/>
        </w:rPr>
        <w:t>J</w:t>
      </w:r>
      <w:r w:rsidR="00C6717E" w:rsidRPr="00B267F5">
        <w:rPr>
          <w:sz w:val="20"/>
        </w:rPr>
        <w:t xml:space="preserve">e </w:t>
      </w:r>
      <w:r w:rsidR="001E21D3" w:rsidRPr="00B267F5">
        <w:rPr>
          <w:sz w:val="20"/>
        </w:rPr>
        <w:t xml:space="preserve">třeba </w:t>
      </w:r>
      <w:r w:rsidR="008F7FA8" w:rsidRPr="00B267F5">
        <w:rPr>
          <w:sz w:val="20"/>
        </w:rPr>
        <w:t>léčit symptomaticky (např. epi</w:t>
      </w:r>
      <w:r w:rsidR="00C6717E" w:rsidRPr="00B267F5">
        <w:rPr>
          <w:sz w:val="20"/>
        </w:rPr>
        <w:t>nefrinem)</w:t>
      </w:r>
      <w:r w:rsidRPr="00B267F5">
        <w:rPr>
          <w:sz w:val="20"/>
        </w:rPr>
        <w:t>.</w:t>
      </w:r>
    </w:p>
    <w:p w14:paraId="01E83AB3" w14:textId="09549B71" w:rsidR="00C6717E" w:rsidRPr="00B267F5" w:rsidRDefault="00165EE1" w:rsidP="00C614E4">
      <w:pPr>
        <w:rPr>
          <w:sz w:val="20"/>
        </w:rPr>
      </w:pPr>
      <w:r w:rsidRPr="00B267F5">
        <w:rPr>
          <w:sz w:val="20"/>
          <w:vertAlign w:val="superscript"/>
        </w:rPr>
        <w:t>2</w:t>
      </w:r>
      <w:r w:rsidR="00772428" w:rsidRPr="00B267F5">
        <w:rPr>
          <w:sz w:val="20"/>
        </w:rPr>
        <w:tab/>
      </w:r>
      <w:r w:rsidR="001E21D3" w:rsidRPr="00B267F5">
        <w:rPr>
          <w:sz w:val="20"/>
        </w:rPr>
        <w:t>P</w:t>
      </w:r>
      <w:r w:rsidR="00C6717E" w:rsidRPr="00B267F5">
        <w:rPr>
          <w:sz w:val="20"/>
        </w:rPr>
        <w:t>řechodný</w:t>
      </w:r>
      <w:r w:rsidRPr="00B267F5">
        <w:rPr>
          <w:sz w:val="20"/>
        </w:rPr>
        <w:t>,</w:t>
      </w:r>
      <w:r w:rsidR="00C6717E" w:rsidRPr="00B267F5">
        <w:rPr>
          <w:sz w:val="20"/>
        </w:rPr>
        <w:t xml:space="preserve"> </w:t>
      </w:r>
      <w:r w:rsidRPr="00B267F5">
        <w:rPr>
          <w:sz w:val="20"/>
        </w:rPr>
        <w:t xml:space="preserve">v průměru </w:t>
      </w:r>
      <w:r w:rsidR="00C6717E" w:rsidRPr="00B267F5">
        <w:rPr>
          <w:sz w:val="20"/>
        </w:rPr>
        <w:t>do čtyř centimetrů</w:t>
      </w:r>
      <w:r w:rsidRPr="00B267F5">
        <w:rPr>
          <w:sz w:val="20"/>
        </w:rPr>
        <w:t xml:space="preserve">, </w:t>
      </w:r>
      <w:r w:rsidR="00C6717E" w:rsidRPr="00B267F5">
        <w:rPr>
          <w:sz w:val="20"/>
        </w:rPr>
        <w:t>může přetrvávat do pěti dnů</w:t>
      </w:r>
      <w:r w:rsidRPr="00B267F5">
        <w:rPr>
          <w:sz w:val="20"/>
        </w:rPr>
        <w:t>.</w:t>
      </w:r>
    </w:p>
    <w:p w14:paraId="225F00A3" w14:textId="0DDBE5FE" w:rsidR="00165EE1" w:rsidRPr="00B267F5" w:rsidRDefault="00165EE1" w:rsidP="00C614E4">
      <w:pPr>
        <w:rPr>
          <w:sz w:val="20"/>
        </w:rPr>
      </w:pPr>
      <w:r w:rsidRPr="00B267F5">
        <w:rPr>
          <w:sz w:val="20"/>
          <w:vertAlign w:val="superscript"/>
        </w:rPr>
        <w:t>3</w:t>
      </w:r>
      <w:r w:rsidR="00772428" w:rsidRPr="00B267F5">
        <w:rPr>
          <w:sz w:val="20"/>
        </w:rPr>
        <w:tab/>
      </w:r>
      <w:r w:rsidR="001A7735" w:rsidRPr="00B267F5">
        <w:rPr>
          <w:sz w:val="20"/>
        </w:rPr>
        <w:t>Pozorovan</w:t>
      </w:r>
      <w:r w:rsidR="002C7396" w:rsidRPr="00B267F5">
        <w:rPr>
          <w:sz w:val="20"/>
        </w:rPr>
        <w:t>é pouze</w:t>
      </w:r>
      <w:r w:rsidR="001A7735" w:rsidRPr="00B267F5">
        <w:rPr>
          <w:sz w:val="20"/>
        </w:rPr>
        <w:t xml:space="preserve"> ve</w:t>
      </w:r>
      <w:r w:rsidRPr="00B267F5">
        <w:rPr>
          <w:sz w:val="20"/>
        </w:rPr>
        <w:t xml:space="preserve"> spojen</w:t>
      </w:r>
      <w:r w:rsidR="001A7735" w:rsidRPr="00B267F5">
        <w:rPr>
          <w:sz w:val="20"/>
        </w:rPr>
        <w:t>í</w:t>
      </w:r>
      <w:r w:rsidRPr="00B267F5">
        <w:rPr>
          <w:sz w:val="20"/>
        </w:rPr>
        <w:t xml:space="preserve"> s otokem v místě injekčního podání.</w:t>
      </w:r>
    </w:p>
    <w:p w14:paraId="45208938" w14:textId="2660F544" w:rsidR="00C6717E" w:rsidRPr="00B267F5" w:rsidRDefault="00165EE1" w:rsidP="00C614E4">
      <w:pPr>
        <w:rPr>
          <w:sz w:val="20"/>
        </w:rPr>
      </w:pPr>
      <w:r w:rsidRPr="00B267F5">
        <w:rPr>
          <w:sz w:val="20"/>
          <w:vertAlign w:val="superscript"/>
        </w:rPr>
        <w:t>4</w:t>
      </w:r>
      <w:r w:rsidR="00772428" w:rsidRPr="00B267F5">
        <w:rPr>
          <w:sz w:val="20"/>
        </w:rPr>
        <w:tab/>
      </w:r>
      <w:r w:rsidR="002C7396" w:rsidRPr="00B267F5">
        <w:rPr>
          <w:sz w:val="20"/>
        </w:rPr>
        <w:t>Průměrné zvýšení</w:t>
      </w:r>
      <w:r w:rsidR="00C6717E" w:rsidRPr="00B267F5">
        <w:rPr>
          <w:sz w:val="20"/>
        </w:rPr>
        <w:t xml:space="preserve"> </w:t>
      </w:r>
      <w:r w:rsidR="005E47A0" w:rsidRPr="00B267F5">
        <w:rPr>
          <w:sz w:val="20"/>
        </w:rPr>
        <w:t xml:space="preserve">o </w:t>
      </w:r>
      <w:r w:rsidR="00C6717E" w:rsidRPr="00B267F5">
        <w:rPr>
          <w:sz w:val="20"/>
        </w:rPr>
        <w:t>0,8 °C</w:t>
      </w:r>
      <w:r w:rsidRPr="00B267F5">
        <w:rPr>
          <w:sz w:val="20"/>
        </w:rPr>
        <w:t>,</w:t>
      </w:r>
      <w:r w:rsidR="00C6717E" w:rsidRPr="00B267F5">
        <w:rPr>
          <w:sz w:val="20"/>
        </w:rPr>
        <w:t xml:space="preserve"> přetrvávající do</w:t>
      </w:r>
      <w:r w:rsidR="00591BD8" w:rsidRPr="00B267F5">
        <w:rPr>
          <w:sz w:val="20"/>
        </w:rPr>
        <w:t> </w:t>
      </w:r>
      <w:r w:rsidR="00C6717E" w:rsidRPr="00B267F5">
        <w:rPr>
          <w:sz w:val="20"/>
        </w:rPr>
        <w:t>20 hodin</w:t>
      </w:r>
      <w:r w:rsidRPr="00B267F5">
        <w:rPr>
          <w:sz w:val="20"/>
        </w:rPr>
        <w:t xml:space="preserve"> po vakcinaci</w:t>
      </w:r>
      <w:r w:rsidR="00C6717E" w:rsidRPr="00B267F5">
        <w:rPr>
          <w:sz w:val="20"/>
        </w:rPr>
        <w:t xml:space="preserve">. </w:t>
      </w:r>
    </w:p>
    <w:bookmarkEnd w:id="1"/>
    <w:p w14:paraId="680E2B4B" w14:textId="77777777" w:rsidR="008D4C05" w:rsidRPr="00591BD8" w:rsidRDefault="008D4C05" w:rsidP="00C614E4">
      <w:pPr>
        <w:rPr>
          <w:szCs w:val="22"/>
        </w:rPr>
      </w:pPr>
    </w:p>
    <w:p w14:paraId="33F0B660" w14:textId="53218CE3" w:rsidR="00C614E4" w:rsidRPr="00C614E4" w:rsidRDefault="00C614E4" w:rsidP="00C614E4">
      <w:pPr>
        <w:tabs>
          <w:tab w:val="left" w:pos="567"/>
        </w:tabs>
        <w:spacing w:line="260" w:lineRule="exact"/>
        <w:ind w:left="0" w:firstLine="0"/>
      </w:pPr>
      <w:bookmarkStart w:id="2" w:name="_Hlk66891708"/>
      <w:r w:rsidRPr="00C614E4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3" w:name="_Hlk184130880"/>
      <w:r w:rsidRPr="00C614E4">
        <w:t>Podrobné kontaktní údaje naleznete</w:t>
      </w:r>
      <w:bookmarkEnd w:id="3"/>
      <w:r w:rsidRPr="00C614E4">
        <w:t xml:space="preserve"> v příbalové informaci.</w:t>
      </w:r>
    </w:p>
    <w:bookmarkEnd w:id="2"/>
    <w:p w14:paraId="3BEBD637" w14:textId="77777777" w:rsidR="00C6717E" w:rsidRPr="00591BD8" w:rsidRDefault="00C6717E" w:rsidP="00C6717E">
      <w:pPr>
        <w:ind w:left="0" w:firstLine="0"/>
        <w:rPr>
          <w:b/>
          <w:szCs w:val="22"/>
        </w:rPr>
      </w:pPr>
    </w:p>
    <w:p w14:paraId="2F2499AA" w14:textId="77777777" w:rsidR="007459B9" w:rsidRPr="00B41D57" w:rsidRDefault="007459B9" w:rsidP="007459B9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65D8FFD0" w14:textId="77777777" w:rsidR="00C6717E" w:rsidRPr="00591BD8" w:rsidRDefault="00C6717E" w:rsidP="00C6717E">
      <w:pPr>
        <w:rPr>
          <w:szCs w:val="22"/>
        </w:rPr>
      </w:pPr>
    </w:p>
    <w:p w14:paraId="73DE75E8" w14:textId="77777777" w:rsidR="00C614E4" w:rsidRPr="00C614E4" w:rsidRDefault="00C614E4" w:rsidP="00C6717E">
      <w:pPr>
        <w:rPr>
          <w:szCs w:val="22"/>
          <w:u w:val="single"/>
        </w:rPr>
      </w:pPr>
      <w:r w:rsidRPr="00C614E4">
        <w:rPr>
          <w:szCs w:val="22"/>
          <w:u w:val="single"/>
        </w:rPr>
        <w:t>Březost a laktace:</w:t>
      </w:r>
    </w:p>
    <w:p w14:paraId="50DAB164" w14:textId="0CF02595" w:rsidR="00C6717E" w:rsidRPr="00591BD8" w:rsidRDefault="00C6717E" w:rsidP="00C6717E">
      <w:pPr>
        <w:rPr>
          <w:szCs w:val="22"/>
        </w:rPr>
      </w:pPr>
      <w:r w:rsidRPr="00591BD8">
        <w:rPr>
          <w:szCs w:val="22"/>
        </w:rPr>
        <w:t>Neuplatňuje se.</w:t>
      </w:r>
    </w:p>
    <w:p w14:paraId="70D43991" w14:textId="77777777" w:rsidR="00C6717E" w:rsidRPr="00591BD8" w:rsidRDefault="00C6717E" w:rsidP="00C6717E">
      <w:pPr>
        <w:ind w:left="0" w:firstLine="0"/>
        <w:rPr>
          <w:szCs w:val="22"/>
        </w:rPr>
      </w:pPr>
    </w:p>
    <w:p w14:paraId="18B173A1" w14:textId="4A239336" w:rsidR="00C6717E" w:rsidRPr="00591BD8" w:rsidRDefault="007459B9" w:rsidP="00C6717E">
      <w:pPr>
        <w:rPr>
          <w:szCs w:val="22"/>
        </w:rPr>
      </w:pPr>
      <w:r w:rsidRPr="007459B9">
        <w:rPr>
          <w:b/>
          <w:szCs w:val="22"/>
        </w:rPr>
        <w:t>3.8</w:t>
      </w:r>
      <w:r w:rsidRPr="007459B9">
        <w:rPr>
          <w:b/>
          <w:szCs w:val="22"/>
        </w:rPr>
        <w:tab/>
        <w:t>Interakce s jinými léčivými přípravky a další formy interakce</w:t>
      </w:r>
    </w:p>
    <w:p w14:paraId="6AAD9604" w14:textId="77777777" w:rsidR="00C6717E" w:rsidRPr="00591BD8" w:rsidRDefault="00C6717E" w:rsidP="00C6717E">
      <w:pPr>
        <w:rPr>
          <w:szCs w:val="22"/>
        </w:rPr>
      </w:pPr>
    </w:p>
    <w:p w14:paraId="20610FF1" w14:textId="59719633" w:rsidR="00C6717E" w:rsidRPr="00591BD8" w:rsidRDefault="00C6717E" w:rsidP="00C6717E">
      <w:pPr>
        <w:ind w:left="0" w:firstLine="0"/>
        <w:rPr>
          <w:szCs w:val="22"/>
        </w:rPr>
      </w:pPr>
      <w:r w:rsidRPr="00591BD8">
        <w:t xml:space="preserve">Dostupné údaje o bezpečnosti a účinnosti dokládají, že vakcínu lze </w:t>
      </w:r>
      <w:r w:rsidRPr="00591BD8">
        <w:rPr>
          <w:szCs w:val="22"/>
        </w:rPr>
        <w:t xml:space="preserve">mísit s vakcínou </w:t>
      </w:r>
      <w:proofErr w:type="spellStart"/>
      <w:r w:rsidRPr="00591BD8">
        <w:rPr>
          <w:szCs w:val="22"/>
        </w:rPr>
        <w:t>Ingelvac</w:t>
      </w:r>
      <w:proofErr w:type="spellEnd"/>
      <w:r w:rsidRPr="00591BD8">
        <w:rPr>
          <w:szCs w:val="22"/>
        </w:rPr>
        <w:t xml:space="preserve"> </w:t>
      </w:r>
      <w:proofErr w:type="spellStart"/>
      <w:r w:rsidRPr="00591BD8">
        <w:rPr>
          <w:szCs w:val="22"/>
        </w:rPr>
        <w:t>CircoFLEX</w:t>
      </w:r>
      <w:proofErr w:type="spellEnd"/>
      <w:r w:rsidRPr="00591BD8">
        <w:rPr>
          <w:szCs w:val="22"/>
        </w:rPr>
        <w:t xml:space="preserve"> společnosti </w:t>
      </w:r>
      <w:proofErr w:type="spellStart"/>
      <w:r w:rsidRPr="00591BD8">
        <w:rPr>
          <w:szCs w:val="22"/>
        </w:rPr>
        <w:t>Boehringer</w:t>
      </w:r>
      <w:proofErr w:type="spellEnd"/>
      <w:r w:rsidRPr="00591BD8">
        <w:rPr>
          <w:szCs w:val="22"/>
        </w:rPr>
        <w:t xml:space="preserve"> </w:t>
      </w:r>
      <w:proofErr w:type="spellStart"/>
      <w:r w:rsidRPr="00591BD8">
        <w:rPr>
          <w:szCs w:val="22"/>
        </w:rPr>
        <w:t>Ingelheim</w:t>
      </w:r>
      <w:proofErr w:type="spellEnd"/>
      <w:r w:rsidRPr="00591BD8">
        <w:rPr>
          <w:szCs w:val="22"/>
        </w:rPr>
        <w:t xml:space="preserve"> a </w:t>
      </w:r>
      <w:r w:rsidR="00C614E4">
        <w:rPr>
          <w:szCs w:val="22"/>
        </w:rPr>
        <w:t xml:space="preserve">podávat </w:t>
      </w:r>
      <w:r w:rsidRPr="00591BD8">
        <w:rPr>
          <w:szCs w:val="22"/>
        </w:rPr>
        <w:t>v injekci na jedno místo.</w:t>
      </w:r>
    </w:p>
    <w:p w14:paraId="46AD4706" w14:textId="77777777" w:rsidR="00C6717E" w:rsidRPr="00591BD8" w:rsidRDefault="00C6717E" w:rsidP="00C6717E">
      <w:pPr>
        <w:ind w:left="0" w:firstLine="0"/>
        <w:rPr>
          <w:szCs w:val="22"/>
        </w:rPr>
      </w:pPr>
    </w:p>
    <w:p w14:paraId="008A8D0C" w14:textId="759C18C3" w:rsidR="00C6717E" w:rsidRPr="00591BD8" w:rsidRDefault="00C6717E" w:rsidP="00C6717E">
      <w:pPr>
        <w:ind w:left="0" w:firstLine="0"/>
        <w:rPr>
          <w:szCs w:val="22"/>
        </w:rPr>
      </w:pPr>
      <w:r w:rsidRPr="00591BD8">
        <w:rPr>
          <w:szCs w:val="22"/>
        </w:rPr>
        <w:t xml:space="preserve">Nejsou dostupné informace o bezpečnosti a účinnosti této vakcíny, </w:t>
      </w:r>
      <w:r w:rsidRPr="00591BD8">
        <w:t xml:space="preserve">pokud </w:t>
      </w:r>
      <w:r w:rsidR="00C614E4">
        <w:t>se používá</w:t>
      </w:r>
      <w:r w:rsidRPr="00591BD8">
        <w:t xml:space="preserve"> zároveň s jiným veterinárním léčivým přípravkem, vyjma výše zmíněného přípravku. Rozhodnutí o použití této vakcíny před nebo po jakémkoliv jiném veterinárním léčivém přípravku musí být provedeno na</w:t>
      </w:r>
      <w:r w:rsidR="00591BD8">
        <w:t> </w:t>
      </w:r>
      <w:r w:rsidRPr="00591BD8">
        <w:t>základě zvážení jednotlivých případů</w:t>
      </w:r>
      <w:r w:rsidRPr="00591BD8">
        <w:rPr>
          <w:szCs w:val="22"/>
        </w:rPr>
        <w:t>.</w:t>
      </w:r>
    </w:p>
    <w:p w14:paraId="5E51ACFF" w14:textId="77777777" w:rsidR="00C6717E" w:rsidRPr="00591BD8" w:rsidRDefault="00C6717E" w:rsidP="00C6717E">
      <w:pPr>
        <w:rPr>
          <w:szCs w:val="22"/>
        </w:rPr>
      </w:pPr>
    </w:p>
    <w:p w14:paraId="5366916A" w14:textId="77777777" w:rsidR="007459B9" w:rsidRPr="00B41D57" w:rsidRDefault="007459B9" w:rsidP="007459B9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FA95BA3" w14:textId="77777777" w:rsidR="00C6717E" w:rsidRPr="00591BD8" w:rsidRDefault="00C6717E" w:rsidP="00C6717E">
      <w:pPr>
        <w:rPr>
          <w:szCs w:val="22"/>
        </w:rPr>
      </w:pPr>
    </w:p>
    <w:p w14:paraId="323FF7FF" w14:textId="38FFDD51" w:rsidR="008D4C05" w:rsidRDefault="00C614E4" w:rsidP="00C6717E">
      <w:pPr>
        <w:rPr>
          <w:szCs w:val="22"/>
        </w:rPr>
      </w:pPr>
      <w:r>
        <w:rPr>
          <w:szCs w:val="22"/>
        </w:rPr>
        <w:t>Intramuskulární podání.</w:t>
      </w:r>
    </w:p>
    <w:p w14:paraId="744208E0" w14:textId="77777777" w:rsidR="00C614E4" w:rsidRPr="00591BD8" w:rsidRDefault="00C614E4" w:rsidP="00C6717E">
      <w:pPr>
        <w:rPr>
          <w:szCs w:val="22"/>
        </w:rPr>
      </w:pPr>
    </w:p>
    <w:p w14:paraId="68FAAC60" w14:textId="6666C9FC" w:rsidR="00C6717E" w:rsidRDefault="00C6717E" w:rsidP="00C6717E">
      <w:pPr>
        <w:ind w:left="0" w:firstLine="0"/>
        <w:rPr>
          <w:szCs w:val="22"/>
        </w:rPr>
      </w:pPr>
      <w:r w:rsidRPr="00591BD8">
        <w:rPr>
          <w:szCs w:val="22"/>
        </w:rPr>
        <w:t xml:space="preserve">Jedna injekce </w:t>
      </w:r>
      <w:r w:rsidR="00FE23EF">
        <w:rPr>
          <w:szCs w:val="22"/>
        </w:rPr>
        <w:t>jedné</w:t>
      </w:r>
      <w:r w:rsidRPr="00591BD8">
        <w:rPr>
          <w:szCs w:val="22"/>
        </w:rPr>
        <w:t xml:space="preserve"> dávky (1 ml) prasatům od 3 týdnů </w:t>
      </w:r>
      <w:r w:rsidR="00FE23EF">
        <w:rPr>
          <w:szCs w:val="22"/>
        </w:rPr>
        <w:t>věku</w:t>
      </w:r>
      <w:r w:rsidRPr="00591BD8">
        <w:rPr>
          <w:szCs w:val="22"/>
        </w:rPr>
        <w:t>, pokud možno do krku.</w:t>
      </w:r>
    </w:p>
    <w:p w14:paraId="138BC37A" w14:textId="1B1C05F5" w:rsidR="00C614E4" w:rsidRPr="00591BD8" w:rsidRDefault="00C614E4" w:rsidP="00C614E4">
      <w:pPr>
        <w:rPr>
          <w:szCs w:val="22"/>
        </w:rPr>
      </w:pPr>
      <w:r w:rsidRPr="00591BD8">
        <w:rPr>
          <w:szCs w:val="22"/>
        </w:rPr>
        <w:t>Před použitím důkladně protřepat.</w:t>
      </w:r>
    </w:p>
    <w:p w14:paraId="73B3DEED" w14:textId="77777777" w:rsidR="00C6717E" w:rsidRPr="00591BD8" w:rsidRDefault="00C6717E" w:rsidP="00C6717E">
      <w:pPr>
        <w:rPr>
          <w:szCs w:val="22"/>
        </w:rPr>
      </w:pPr>
      <w:r w:rsidRPr="00591BD8">
        <w:rPr>
          <w:szCs w:val="22"/>
        </w:rPr>
        <w:t>V průběhu použití zabránit kontaminaci.</w:t>
      </w:r>
    </w:p>
    <w:p w14:paraId="567C1432" w14:textId="40D416E7" w:rsidR="00C6717E" w:rsidRPr="00591BD8" w:rsidRDefault="00377AC8" w:rsidP="00C6717E">
      <w:pPr>
        <w:ind w:left="0" w:firstLine="0"/>
        <w:rPr>
          <w:szCs w:val="22"/>
        </w:rPr>
      </w:pPr>
      <w:r w:rsidRPr="00591BD8">
        <w:rPr>
          <w:szCs w:val="22"/>
        </w:rPr>
        <w:t>Vyhn</w:t>
      </w:r>
      <w:r>
        <w:rPr>
          <w:szCs w:val="22"/>
        </w:rPr>
        <w:t>ěte</w:t>
      </w:r>
      <w:r w:rsidRPr="00591BD8">
        <w:rPr>
          <w:szCs w:val="22"/>
        </w:rPr>
        <w:t xml:space="preserve"> </w:t>
      </w:r>
      <w:r w:rsidR="00C6717E" w:rsidRPr="00591BD8">
        <w:rPr>
          <w:szCs w:val="22"/>
        </w:rPr>
        <w:t xml:space="preserve">se opakovanému propichování </w:t>
      </w:r>
      <w:r w:rsidR="00DD6FA7" w:rsidRPr="00591BD8">
        <w:rPr>
          <w:szCs w:val="22"/>
        </w:rPr>
        <w:t>lahv</w:t>
      </w:r>
      <w:r w:rsidR="00DD6FA7">
        <w:rPr>
          <w:szCs w:val="22"/>
        </w:rPr>
        <w:t>e</w:t>
      </w:r>
      <w:r w:rsidR="00C6717E" w:rsidRPr="00591BD8">
        <w:rPr>
          <w:szCs w:val="22"/>
        </w:rPr>
        <w:t>.</w:t>
      </w:r>
    </w:p>
    <w:p w14:paraId="711FA3CB" w14:textId="6970DD80" w:rsidR="005F1BB4" w:rsidRPr="00591BD8" w:rsidRDefault="00C6717E" w:rsidP="00C6717E">
      <w:pPr>
        <w:ind w:left="0" w:firstLine="0"/>
        <w:rPr>
          <w:szCs w:val="22"/>
          <w:lang w:eastAsia="de-DE"/>
        </w:rPr>
      </w:pPr>
      <w:r w:rsidRPr="00591BD8">
        <w:rPr>
          <w:szCs w:val="22"/>
          <w:lang w:eastAsia="de-DE"/>
        </w:rPr>
        <w:t xml:space="preserve">Vakcinační automat </w:t>
      </w:r>
      <w:r w:rsidR="00377AC8">
        <w:rPr>
          <w:szCs w:val="22"/>
          <w:lang w:eastAsia="de-DE"/>
        </w:rPr>
        <w:t xml:space="preserve">by se měl </w:t>
      </w:r>
      <w:r w:rsidRPr="00591BD8">
        <w:rPr>
          <w:szCs w:val="22"/>
          <w:lang w:eastAsia="de-DE"/>
        </w:rPr>
        <w:t xml:space="preserve">používat podle návodu </w:t>
      </w:r>
      <w:r w:rsidR="0021504A" w:rsidRPr="00591BD8">
        <w:rPr>
          <w:szCs w:val="22"/>
          <w:lang w:eastAsia="de-DE"/>
        </w:rPr>
        <w:t>k</w:t>
      </w:r>
      <w:r w:rsidRPr="00591BD8">
        <w:rPr>
          <w:szCs w:val="22"/>
          <w:lang w:eastAsia="de-DE"/>
        </w:rPr>
        <w:t xml:space="preserve"> použití poskytnutého výrobcem. </w:t>
      </w:r>
    </w:p>
    <w:p w14:paraId="65DB9695" w14:textId="77777777" w:rsidR="00C6717E" w:rsidRPr="00591BD8" w:rsidRDefault="00FD59A3" w:rsidP="00C6717E">
      <w:pPr>
        <w:ind w:left="0" w:firstLine="0"/>
        <w:rPr>
          <w:szCs w:val="22"/>
          <w:lang w:eastAsia="de-DE"/>
        </w:rPr>
      </w:pPr>
      <w:r w:rsidRPr="00591BD8">
        <w:rPr>
          <w:szCs w:val="22"/>
          <w:lang w:eastAsia="de-DE"/>
        </w:rPr>
        <w:t>Po správné manipulaci podle pokynů pro mísení by nemělo dojít k úniku přípravku. V případě úniku přípravku nebo nesprávné manipulace s přípravkem by měla být lahev zlikvidována.</w:t>
      </w:r>
    </w:p>
    <w:p w14:paraId="342CCB70" w14:textId="237F7888" w:rsidR="00C6717E" w:rsidRPr="00591BD8" w:rsidRDefault="00235E27" w:rsidP="00C6717E">
      <w:pPr>
        <w:ind w:left="0" w:firstLine="0"/>
        <w:rPr>
          <w:szCs w:val="22"/>
        </w:rPr>
      </w:pPr>
      <w:r w:rsidRPr="00591BD8">
        <w:rPr>
          <w:szCs w:val="22"/>
        </w:rPr>
        <w:t>Použ</w:t>
      </w:r>
      <w:r>
        <w:rPr>
          <w:szCs w:val="22"/>
        </w:rPr>
        <w:t>ijte</w:t>
      </w:r>
      <w:r w:rsidRPr="00591BD8">
        <w:rPr>
          <w:szCs w:val="22"/>
        </w:rPr>
        <w:t xml:space="preserve"> </w:t>
      </w:r>
      <w:r w:rsidR="00C6717E" w:rsidRPr="00591BD8">
        <w:rPr>
          <w:szCs w:val="22"/>
        </w:rPr>
        <w:t xml:space="preserve">aplikátor zabraňující zpětnému nasátí veterinárního </w:t>
      </w:r>
      <w:r w:rsidR="0021504A" w:rsidRPr="00591BD8">
        <w:rPr>
          <w:szCs w:val="22"/>
        </w:rPr>
        <w:t>léčivého přípravku</w:t>
      </w:r>
      <w:r w:rsidR="00C6717E" w:rsidRPr="00591BD8">
        <w:rPr>
          <w:szCs w:val="22"/>
        </w:rPr>
        <w:t>.</w:t>
      </w:r>
    </w:p>
    <w:p w14:paraId="35856473" w14:textId="77777777" w:rsidR="00C6717E" w:rsidRPr="00591BD8" w:rsidRDefault="00C6717E" w:rsidP="00C6717E">
      <w:pPr>
        <w:rPr>
          <w:szCs w:val="22"/>
        </w:rPr>
      </w:pPr>
    </w:p>
    <w:p w14:paraId="596B64AB" w14:textId="77777777" w:rsidR="00C6717E" w:rsidRPr="00591BD8" w:rsidRDefault="00C6717E" w:rsidP="00C6717E">
      <w:pPr>
        <w:ind w:left="0" w:firstLine="0"/>
      </w:pPr>
      <w:r w:rsidRPr="00591BD8">
        <w:lastRenderedPageBreak/>
        <w:t xml:space="preserve">Při </w:t>
      </w:r>
      <w:r w:rsidR="005F1B1B" w:rsidRPr="00591BD8">
        <w:t>s</w:t>
      </w:r>
      <w:r w:rsidRPr="00591BD8">
        <w:t xml:space="preserve">míchání s vakcínou </w:t>
      </w:r>
      <w:proofErr w:type="spellStart"/>
      <w:r w:rsidRPr="00591BD8">
        <w:t>Ingelvac</w:t>
      </w:r>
      <w:proofErr w:type="spellEnd"/>
      <w:r w:rsidRPr="00591BD8">
        <w:t xml:space="preserve"> </w:t>
      </w:r>
      <w:proofErr w:type="spellStart"/>
      <w:r w:rsidRPr="00591BD8">
        <w:t>CircoFLEX</w:t>
      </w:r>
      <w:proofErr w:type="spellEnd"/>
      <w:r w:rsidRPr="00591BD8">
        <w:t>:</w:t>
      </w:r>
    </w:p>
    <w:p w14:paraId="0801EC9C" w14:textId="64C38A26" w:rsidR="00C6717E" w:rsidRPr="00591BD8" w:rsidRDefault="00563DD0" w:rsidP="00C6717E">
      <w:pPr>
        <w:numPr>
          <w:ilvl w:val="0"/>
          <w:numId w:val="42"/>
        </w:numPr>
        <w:ind w:hanging="720"/>
      </w:pPr>
      <w:r>
        <w:t>V</w:t>
      </w:r>
      <w:r w:rsidR="00C6717E" w:rsidRPr="00591BD8">
        <w:t>akcin</w:t>
      </w:r>
      <w:r w:rsidR="004F3C17">
        <w:t>ujte</w:t>
      </w:r>
      <w:r w:rsidR="00C6717E" w:rsidRPr="00591BD8">
        <w:t xml:space="preserve"> pouze prasata starší než 3 týdny</w:t>
      </w:r>
      <w:r>
        <w:t>.</w:t>
      </w:r>
    </w:p>
    <w:p w14:paraId="4CDED325" w14:textId="77777777" w:rsidR="00C6717E" w:rsidRPr="00591BD8" w:rsidRDefault="00C6717E" w:rsidP="00C6717E">
      <w:pPr>
        <w:rPr>
          <w:szCs w:val="22"/>
        </w:rPr>
      </w:pPr>
    </w:p>
    <w:p w14:paraId="1B570E4E" w14:textId="77777777" w:rsidR="00C6717E" w:rsidRPr="00591BD8" w:rsidRDefault="00C6717E" w:rsidP="00C6717E">
      <w:pPr>
        <w:jc w:val="both"/>
        <w:rPr>
          <w:iCs/>
        </w:rPr>
      </w:pPr>
      <w:r w:rsidRPr="00591BD8">
        <w:rPr>
          <w:iCs/>
        </w:rPr>
        <w:t xml:space="preserve">Při </w:t>
      </w:r>
      <w:r w:rsidR="005F1B1B" w:rsidRPr="00591BD8">
        <w:rPr>
          <w:iCs/>
        </w:rPr>
        <w:t>s</w:t>
      </w:r>
      <w:r w:rsidRPr="00591BD8">
        <w:rPr>
          <w:iCs/>
        </w:rPr>
        <w:t xml:space="preserve">míchání s vakcínou </w:t>
      </w:r>
      <w:proofErr w:type="spellStart"/>
      <w:r w:rsidRPr="00591BD8">
        <w:rPr>
          <w:iCs/>
        </w:rPr>
        <w:t>Ingelvac</w:t>
      </w:r>
      <w:proofErr w:type="spellEnd"/>
      <w:r w:rsidRPr="00591BD8">
        <w:rPr>
          <w:iCs/>
        </w:rPr>
        <w:t xml:space="preserve"> </w:t>
      </w:r>
      <w:proofErr w:type="spellStart"/>
      <w:r w:rsidRPr="00591BD8">
        <w:rPr>
          <w:iCs/>
        </w:rPr>
        <w:t>CircoFLEX</w:t>
      </w:r>
      <w:proofErr w:type="spellEnd"/>
      <w:r w:rsidRPr="00591BD8">
        <w:rPr>
          <w:iCs/>
        </w:rPr>
        <w:t xml:space="preserve"> je nutno:</w:t>
      </w:r>
    </w:p>
    <w:p w14:paraId="75CC9455" w14:textId="77777777" w:rsidR="00C6717E" w:rsidRPr="00591BD8" w:rsidRDefault="00C6717E" w:rsidP="00C6717E">
      <w:pPr>
        <w:numPr>
          <w:ilvl w:val="1"/>
          <w:numId w:val="41"/>
        </w:numPr>
        <w:tabs>
          <w:tab w:val="clear" w:pos="1440"/>
        </w:tabs>
        <w:ind w:left="567" w:hanging="567"/>
        <w:rPr>
          <w:iCs/>
        </w:rPr>
      </w:pPr>
      <w:r w:rsidRPr="00591BD8">
        <w:rPr>
          <w:iCs/>
        </w:rPr>
        <w:t xml:space="preserve">Použít stejný objem vakcín </w:t>
      </w:r>
      <w:proofErr w:type="spellStart"/>
      <w:r w:rsidRPr="00591BD8">
        <w:rPr>
          <w:iCs/>
        </w:rPr>
        <w:t>Ingelvac</w:t>
      </w:r>
      <w:proofErr w:type="spellEnd"/>
      <w:r w:rsidRPr="00591BD8">
        <w:rPr>
          <w:iCs/>
        </w:rPr>
        <w:t xml:space="preserve"> </w:t>
      </w:r>
      <w:proofErr w:type="spellStart"/>
      <w:r w:rsidRPr="00591BD8">
        <w:rPr>
          <w:iCs/>
        </w:rPr>
        <w:t>CircoFLEX</w:t>
      </w:r>
      <w:proofErr w:type="spellEnd"/>
      <w:r w:rsidRPr="00591BD8">
        <w:rPr>
          <w:iCs/>
        </w:rPr>
        <w:t xml:space="preserve"> a </w:t>
      </w:r>
      <w:proofErr w:type="spellStart"/>
      <w:r w:rsidRPr="00591BD8">
        <w:rPr>
          <w:iCs/>
        </w:rPr>
        <w:t>Ingelvac</w:t>
      </w:r>
      <w:proofErr w:type="spellEnd"/>
      <w:r w:rsidRPr="00591BD8">
        <w:rPr>
          <w:iCs/>
        </w:rPr>
        <w:t xml:space="preserve"> </w:t>
      </w:r>
      <w:proofErr w:type="spellStart"/>
      <w:r w:rsidRPr="00591BD8">
        <w:rPr>
          <w:iCs/>
        </w:rPr>
        <w:t>MycoFLEX</w:t>
      </w:r>
      <w:proofErr w:type="spellEnd"/>
      <w:r w:rsidRPr="00591BD8">
        <w:rPr>
          <w:iCs/>
        </w:rPr>
        <w:t>.</w:t>
      </w:r>
    </w:p>
    <w:p w14:paraId="44638474" w14:textId="77777777" w:rsidR="00C6717E" w:rsidRPr="00591BD8" w:rsidRDefault="00C6717E" w:rsidP="00C6717E">
      <w:pPr>
        <w:numPr>
          <w:ilvl w:val="1"/>
          <w:numId w:val="41"/>
        </w:numPr>
        <w:tabs>
          <w:tab w:val="clear" w:pos="1440"/>
        </w:tabs>
        <w:ind w:left="567" w:hanging="567"/>
        <w:rPr>
          <w:iCs/>
          <w:highlight w:val="lightGray"/>
        </w:rPr>
      </w:pPr>
      <w:r w:rsidRPr="00591BD8">
        <w:rPr>
          <w:iCs/>
          <w:highlight w:val="lightGray"/>
        </w:rPr>
        <w:t>Použít sterilní transportní jehlu k přemístění obsahu. Sterilní transportní jehly (certifikované CE) jsou k dostání u dodavatelů zdravotnických pomůcek.</w:t>
      </w:r>
    </w:p>
    <w:p w14:paraId="38DD2E7B" w14:textId="77777777" w:rsidR="00C6717E" w:rsidRPr="00591BD8" w:rsidRDefault="00C6717E" w:rsidP="00C6717E">
      <w:pPr>
        <w:jc w:val="both"/>
        <w:rPr>
          <w:iCs/>
          <w:highlight w:val="lightGray"/>
        </w:rPr>
      </w:pPr>
    </w:p>
    <w:p w14:paraId="184D0472" w14:textId="77777777" w:rsidR="00C6717E" w:rsidRPr="00591BD8" w:rsidRDefault="00C6717E" w:rsidP="00C6717E">
      <w:pPr>
        <w:jc w:val="both"/>
        <w:rPr>
          <w:iCs/>
          <w:highlight w:val="lightGray"/>
        </w:rPr>
      </w:pPr>
      <w:r w:rsidRPr="00591BD8">
        <w:rPr>
          <w:iCs/>
          <w:highlight w:val="lightGray"/>
        </w:rPr>
        <w:t xml:space="preserve">Pro zajištění správného </w:t>
      </w:r>
      <w:r w:rsidR="005F1B1B" w:rsidRPr="00591BD8">
        <w:rPr>
          <w:iCs/>
          <w:highlight w:val="lightGray"/>
        </w:rPr>
        <w:t>s</w:t>
      </w:r>
      <w:r w:rsidRPr="00591BD8">
        <w:rPr>
          <w:iCs/>
          <w:highlight w:val="lightGray"/>
        </w:rPr>
        <w:t>míchání je nutno postupovat dle následujících pokynů:</w:t>
      </w:r>
    </w:p>
    <w:p w14:paraId="5DB04222" w14:textId="77777777" w:rsidR="00C6717E" w:rsidRPr="00591BD8" w:rsidRDefault="00C6717E" w:rsidP="00C6717E">
      <w:pPr>
        <w:ind w:left="600" w:hanging="600"/>
        <w:rPr>
          <w:highlight w:val="lightGray"/>
        </w:rPr>
      </w:pPr>
      <w:r w:rsidRPr="00591BD8">
        <w:rPr>
          <w:highlight w:val="lightGray"/>
        </w:rPr>
        <w:t>1.</w:t>
      </w:r>
      <w:r w:rsidRPr="00591BD8">
        <w:rPr>
          <w:highlight w:val="lightGray"/>
        </w:rPr>
        <w:tab/>
        <w:t xml:space="preserve">Připojit jeden konec transportní jehly k láhvi s vakcínou </w:t>
      </w:r>
      <w:proofErr w:type="spellStart"/>
      <w:r w:rsidRPr="00591BD8">
        <w:rPr>
          <w:highlight w:val="lightGray"/>
        </w:rPr>
        <w:t>Ingelvac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MycoFLEX</w:t>
      </w:r>
      <w:proofErr w:type="spellEnd"/>
      <w:r w:rsidRPr="00591BD8">
        <w:rPr>
          <w:highlight w:val="lightGray"/>
        </w:rPr>
        <w:t>.</w:t>
      </w:r>
    </w:p>
    <w:p w14:paraId="4DE5FF72" w14:textId="77777777" w:rsidR="00C6717E" w:rsidRPr="00591BD8" w:rsidRDefault="00C6717E" w:rsidP="00C6717E">
      <w:pPr>
        <w:tabs>
          <w:tab w:val="left" w:pos="600"/>
        </w:tabs>
        <w:ind w:left="1080" w:hanging="1080"/>
        <w:rPr>
          <w:highlight w:val="lightGray"/>
        </w:rPr>
      </w:pPr>
      <w:r w:rsidRPr="00591BD8">
        <w:rPr>
          <w:highlight w:val="lightGray"/>
        </w:rPr>
        <w:t>2.</w:t>
      </w:r>
      <w:r w:rsidRPr="00591BD8">
        <w:rPr>
          <w:highlight w:val="lightGray"/>
        </w:rPr>
        <w:tab/>
        <w:t>-</w:t>
      </w:r>
      <w:r w:rsidRPr="00591BD8">
        <w:rPr>
          <w:highlight w:val="lightGray"/>
        </w:rPr>
        <w:tab/>
        <w:t xml:space="preserve">Připojit opačný konec </w:t>
      </w:r>
      <w:r w:rsidRPr="00591BD8">
        <w:rPr>
          <w:iCs/>
          <w:highlight w:val="lightGray"/>
        </w:rPr>
        <w:t>transportní</w:t>
      </w:r>
      <w:r w:rsidRPr="00591BD8">
        <w:rPr>
          <w:highlight w:val="lightGray"/>
        </w:rPr>
        <w:t xml:space="preserve"> jehly k láhvi</w:t>
      </w:r>
      <w:r w:rsidRPr="00591BD8">
        <w:rPr>
          <w:iCs/>
          <w:highlight w:val="lightGray"/>
        </w:rPr>
        <w:t xml:space="preserve"> </w:t>
      </w:r>
      <w:r w:rsidRPr="00591BD8">
        <w:rPr>
          <w:highlight w:val="lightGray"/>
        </w:rPr>
        <w:t xml:space="preserve">s vakcínou </w:t>
      </w:r>
      <w:proofErr w:type="spellStart"/>
      <w:r w:rsidRPr="00591BD8">
        <w:rPr>
          <w:highlight w:val="lightGray"/>
        </w:rPr>
        <w:t>Ingelvac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CircoFLEX</w:t>
      </w:r>
      <w:proofErr w:type="spellEnd"/>
      <w:r w:rsidRPr="00591BD8">
        <w:rPr>
          <w:highlight w:val="lightGray"/>
        </w:rPr>
        <w:t>.</w:t>
      </w:r>
    </w:p>
    <w:p w14:paraId="0B85A43D" w14:textId="77777777" w:rsidR="00C6717E" w:rsidRPr="00591BD8" w:rsidRDefault="00C6717E" w:rsidP="00C6717E">
      <w:pPr>
        <w:tabs>
          <w:tab w:val="left" w:pos="600"/>
        </w:tabs>
        <w:ind w:left="1080" w:hanging="1080"/>
        <w:rPr>
          <w:highlight w:val="lightGray"/>
        </w:rPr>
      </w:pPr>
      <w:r w:rsidRPr="00591BD8">
        <w:rPr>
          <w:highlight w:val="lightGray"/>
        </w:rPr>
        <w:tab/>
        <w:t>-</w:t>
      </w:r>
      <w:r w:rsidRPr="00591BD8">
        <w:rPr>
          <w:highlight w:val="lightGray"/>
        </w:rPr>
        <w:tab/>
        <w:t xml:space="preserve">Přemístit vakcínu </w:t>
      </w:r>
      <w:proofErr w:type="spellStart"/>
      <w:r w:rsidRPr="00591BD8">
        <w:rPr>
          <w:highlight w:val="lightGray"/>
        </w:rPr>
        <w:t>Ingelvac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CircoFLEX</w:t>
      </w:r>
      <w:proofErr w:type="spellEnd"/>
      <w:r w:rsidRPr="00591BD8" w:rsidDel="008F699A">
        <w:rPr>
          <w:highlight w:val="lightGray"/>
        </w:rPr>
        <w:t xml:space="preserve"> </w:t>
      </w:r>
      <w:r w:rsidRPr="00591BD8">
        <w:rPr>
          <w:highlight w:val="lightGray"/>
        </w:rPr>
        <w:t>do láhve</w:t>
      </w:r>
      <w:r w:rsidRPr="00591BD8">
        <w:rPr>
          <w:iCs/>
          <w:highlight w:val="lightGray"/>
        </w:rPr>
        <w:t xml:space="preserve"> s </w:t>
      </w:r>
      <w:r w:rsidRPr="00591BD8">
        <w:rPr>
          <w:highlight w:val="lightGray"/>
        </w:rPr>
        <w:t xml:space="preserve">vakcínou </w:t>
      </w:r>
      <w:proofErr w:type="spellStart"/>
      <w:r w:rsidRPr="00591BD8">
        <w:rPr>
          <w:highlight w:val="lightGray"/>
        </w:rPr>
        <w:t>Ingelvac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MycoFLEX</w:t>
      </w:r>
      <w:proofErr w:type="spellEnd"/>
      <w:r w:rsidRPr="00591BD8">
        <w:rPr>
          <w:highlight w:val="lightGray"/>
        </w:rPr>
        <w:t xml:space="preserve">. V případě potřeby jemně stlačit láhev s vakcínou </w:t>
      </w:r>
      <w:proofErr w:type="spellStart"/>
      <w:r w:rsidRPr="00591BD8">
        <w:rPr>
          <w:highlight w:val="lightGray"/>
        </w:rPr>
        <w:t>Ingelvac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CircoFLEX</w:t>
      </w:r>
      <w:proofErr w:type="spellEnd"/>
      <w:r w:rsidRPr="00591BD8">
        <w:rPr>
          <w:highlight w:val="lightGray"/>
        </w:rPr>
        <w:t xml:space="preserve"> k usnadnění přemístění obsahu.</w:t>
      </w:r>
    </w:p>
    <w:p w14:paraId="20FA7A40" w14:textId="77777777" w:rsidR="00C6717E" w:rsidRPr="00591BD8" w:rsidRDefault="00C6717E" w:rsidP="00C6717E">
      <w:pPr>
        <w:tabs>
          <w:tab w:val="left" w:pos="600"/>
        </w:tabs>
        <w:ind w:left="1080" w:hanging="1080"/>
        <w:rPr>
          <w:highlight w:val="lightGray"/>
        </w:rPr>
      </w:pPr>
      <w:r w:rsidRPr="00591BD8">
        <w:rPr>
          <w:highlight w:val="lightGray"/>
        </w:rPr>
        <w:tab/>
        <w:t>-</w:t>
      </w:r>
      <w:r w:rsidRPr="00591BD8">
        <w:rPr>
          <w:highlight w:val="lightGray"/>
        </w:rPr>
        <w:tab/>
        <w:t xml:space="preserve">Po přemístění celého obsahu láhve </w:t>
      </w:r>
      <w:proofErr w:type="spellStart"/>
      <w:r w:rsidRPr="00591BD8">
        <w:rPr>
          <w:highlight w:val="lightGray"/>
        </w:rPr>
        <w:t>Ingelvac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CircoFLEX</w:t>
      </w:r>
      <w:proofErr w:type="spellEnd"/>
      <w:r w:rsidRPr="00591BD8">
        <w:rPr>
          <w:highlight w:val="lightGray"/>
        </w:rPr>
        <w:t xml:space="preserve"> odpojit a zlikvidovat </w:t>
      </w:r>
      <w:r w:rsidRPr="00591BD8">
        <w:rPr>
          <w:iCs/>
          <w:highlight w:val="lightGray"/>
        </w:rPr>
        <w:t>transportní</w:t>
      </w:r>
      <w:r w:rsidRPr="00591BD8">
        <w:rPr>
          <w:highlight w:val="lightGray"/>
        </w:rPr>
        <w:t xml:space="preserve"> jehlu a prázdnou láhev od </w:t>
      </w:r>
      <w:proofErr w:type="spellStart"/>
      <w:r w:rsidRPr="00591BD8">
        <w:rPr>
          <w:highlight w:val="lightGray"/>
        </w:rPr>
        <w:t>Ingelvacu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CircoFLEX</w:t>
      </w:r>
      <w:proofErr w:type="spellEnd"/>
      <w:r w:rsidRPr="00591BD8">
        <w:rPr>
          <w:highlight w:val="lightGray"/>
        </w:rPr>
        <w:t>.</w:t>
      </w:r>
    </w:p>
    <w:p w14:paraId="4430A4AB" w14:textId="77777777" w:rsidR="00C6717E" w:rsidRPr="00591BD8" w:rsidRDefault="00C6717E" w:rsidP="00C6717E">
      <w:pPr>
        <w:ind w:left="600" w:hanging="600"/>
        <w:rPr>
          <w:bCs/>
          <w:highlight w:val="lightGray"/>
        </w:rPr>
      </w:pPr>
      <w:r w:rsidRPr="00591BD8">
        <w:rPr>
          <w:bCs/>
          <w:highlight w:val="lightGray"/>
        </w:rPr>
        <w:t>3.</w:t>
      </w:r>
      <w:r w:rsidRPr="00591BD8">
        <w:rPr>
          <w:bCs/>
          <w:highlight w:val="lightGray"/>
        </w:rPr>
        <w:tab/>
        <w:t>Pro náležité smíchaní vakcín mírně potřepat lahví</w:t>
      </w:r>
      <w:r w:rsidRPr="00591BD8">
        <w:rPr>
          <w:iCs/>
          <w:highlight w:val="lightGray"/>
        </w:rPr>
        <w:t xml:space="preserve"> </w:t>
      </w:r>
      <w:proofErr w:type="spellStart"/>
      <w:r w:rsidRPr="00591BD8">
        <w:rPr>
          <w:highlight w:val="lightGray"/>
        </w:rPr>
        <w:t>Ingelvac</w:t>
      </w:r>
      <w:proofErr w:type="spellEnd"/>
      <w:r w:rsidRPr="00591BD8">
        <w:rPr>
          <w:highlight w:val="lightGray"/>
        </w:rPr>
        <w:t xml:space="preserve"> </w:t>
      </w:r>
      <w:proofErr w:type="spellStart"/>
      <w:r w:rsidRPr="00591BD8">
        <w:rPr>
          <w:highlight w:val="lightGray"/>
        </w:rPr>
        <w:t>MycoFLEX</w:t>
      </w:r>
      <w:proofErr w:type="spellEnd"/>
      <w:r w:rsidRPr="00591BD8">
        <w:rPr>
          <w:bCs/>
          <w:highlight w:val="lightGray"/>
        </w:rPr>
        <w:t>, dokud nemá směs homogenní oranžovo</w:t>
      </w:r>
      <w:r w:rsidR="005F1BB4" w:rsidRPr="00591BD8">
        <w:rPr>
          <w:bCs/>
          <w:highlight w:val="lightGray"/>
        </w:rPr>
        <w:t>u až na</w:t>
      </w:r>
      <w:r w:rsidRPr="00591BD8">
        <w:rPr>
          <w:bCs/>
          <w:highlight w:val="lightGray"/>
        </w:rPr>
        <w:t>červen</w:t>
      </w:r>
      <w:r w:rsidR="005F1BB4" w:rsidRPr="00591BD8">
        <w:rPr>
          <w:bCs/>
          <w:highlight w:val="lightGray"/>
        </w:rPr>
        <w:t>al</w:t>
      </w:r>
      <w:r w:rsidRPr="00591BD8">
        <w:rPr>
          <w:bCs/>
          <w:highlight w:val="lightGray"/>
        </w:rPr>
        <w:t xml:space="preserve">ou barvu. </w:t>
      </w:r>
      <w:r w:rsidRPr="00591BD8">
        <w:rPr>
          <w:iCs/>
          <w:highlight w:val="lightGray"/>
        </w:rPr>
        <w:t>Po dobu vakcinace je nutno sledovat homogennost zbarvení směsi a udržovat ji nepřetržitým promícháváním.</w:t>
      </w:r>
      <w:r w:rsidRPr="00591BD8">
        <w:rPr>
          <w:bCs/>
          <w:highlight w:val="lightGray"/>
        </w:rPr>
        <w:t xml:space="preserve"> </w:t>
      </w:r>
    </w:p>
    <w:p w14:paraId="192A0F89" w14:textId="77777777" w:rsidR="00C6717E" w:rsidRPr="00591BD8" w:rsidRDefault="00C6717E" w:rsidP="00C6717E">
      <w:pPr>
        <w:ind w:left="600" w:hanging="600"/>
        <w:rPr>
          <w:bCs/>
        </w:rPr>
      </w:pPr>
      <w:r w:rsidRPr="00591BD8">
        <w:rPr>
          <w:iCs/>
          <w:highlight w:val="lightGray"/>
        </w:rPr>
        <w:t>4.</w:t>
      </w:r>
      <w:r w:rsidRPr="00591BD8">
        <w:rPr>
          <w:iCs/>
          <w:highlight w:val="lightGray"/>
        </w:rPr>
        <w:tab/>
        <w:t>Pod</w:t>
      </w:r>
      <w:r w:rsidR="005F1B1B" w:rsidRPr="00591BD8">
        <w:rPr>
          <w:iCs/>
          <w:highlight w:val="lightGray"/>
        </w:rPr>
        <w:t>ejte</w:t>
      </w:r>
      <w:r w:rsidRPr="00591BD8">
        <w:rPr>
          <w:iCs/>
          <w:highlight w:val="lightGray"/>
        </w:rPr>
        <w:t xml:space="preserve"> praseti jednu dávku </w:t>
      </w:r>
      <w:r w:rsidRPr="00591BD8">
        <w:rPr>
          <w:highlight w:val="lightGray"/>
        </w:rPr>
        <w:t>(</w:t>
      </w:r>
      <w:r w:rsidRPr="00591BD8">
        <w:rPr>
          <w:b/>
          <w:highlight w:val="lightGray"/>
        </w:rPr>
        <w:t>2 ml</w:t>
      </w:r>
      <w:r w:rsidRPr="00591BD8">
        <w:rPr>
          <w:highlight w:val="lightGray"/>
        </w:rPr>
        <w:t xml:space="preserve">) směsi intramuskulárně </w:t>
      </w:r>
      <w:r w:rsidRPr="00591BD8">
        <w:rPr>
          <w:szCs w:val="22"/>
          <w:highlight w:val="lightGray"/>
        </w:rPr>
        <w:t>bez ohledu na živou hmotnost</w:t>
      </w:r>
      <w:r w:rsidRPr="00591BD8">
        <w:rPr>
          <w:highlight w:val="lightGray"/>
        </w:rPr>
        <w:t xml:space="preserve">. </w:t>
      </w:r>
      <w:r w:rsidRPr="00591BD8">
        <w:rPr>
          <w:szCs w:val="22"/>
          <w:highlight w:val="lightGray"/>
          <w:lang w:eastAsia="de-DE"/>
        </w:rPr>
        <w:t>Vakcinační automat použív</w:t>
      </w:r>
      <w:r w:rsidR="005F1B1B" w:rsidRPr="00591BD8">
        <w:rPr>
          <w:szCs w:val="22"/>
          <w:highlight w:val="lightGray"/>
          <w:lang w:eastAsia="de-DE"/>
        </w:rPr>
        <w:t>ejte</w:t>
      </w:r>
      <w:r w:rsidRPr="00591BD8">
        <w:rPr>
          <w:szCs w:val="22"/>
          <w:highlight w:val="lightGray"/>
          <w:lang w:eastAsia="de-DE"/>
        </w:rPr>
        <w:t xml:space="preserve"> podle návodu k použití poskytnutého výrobcem.</w:t>
      </w:r>
      <w:r w:rsidRPr="00591BD8">
        <w:t xml:space="preserve"> </w:t>
      </w:r>
    </w:p>
    <w:p w14:paraId="7DA2C552" w14:textId="77777777" w:rsidR="00C6717E" w:rsidRPr="00591BD8" w:rsidRDefault="00C6717E" w:rsidP="00C6717E">
      <w:pPr>
        <w:rPr>
          <w:bCs/>
        </w:rPr>
      </w:pPr>
    </w:p>
    <w:p w14:paraId="6878D0B9" w14:textId="77777777" w:rsidR="005F1B1B" w:rsidRPr="00591BD8" w:rsidRDefault="005F1B1B" w:rsidP="005F1B1B">
      <w:pPr>
        <w:ind w:left="600" w:hanging="600"/>
      </w:pPr>
      <w:r w:rsidRPr="00591BD8">
        <w:rPr>
          <w:szCs w:val="22"/>
          <w:lang w:eastAsia="de-DE"/>
        </w:rPr>
        <w:t>Pro zajištění správného smíchání</w:t>
      </w:r>
      <w:r w:rsidRPr="00591BD8">
        <w:t xml:space="preserve"> za použití </w:t>
      </w:r>
      <w:proofErr w:type="spellStart"/>
      <w:r w:rsidRPr="00591BD8">
        <w:t>TwistPak</w:t>
      </w:r>
      <w:proofErr w:type="spellEnd"/>
      <w:r w:rsidRPr="00591BD8">
        <w:t xml:space="preserve"> lahví je nutno postupovat dle následujících pokynů:</w:t>
      </w:r>
    </w:p>
    <w:p w14:paraId="7DEC45CF" w14:textId="61F0B63E" w:rsidR="005F1B1B" w:rsidRPr="00591BD8" w:rsidRDefault="005F1B1B" w:rsidP="005F1B1B">
      <w:pPr>
        <w:ind w:left="600" w:hanging="600"/>
      </w:pPr>
      <w:r w:rsidRPr="00591BD8">
        <w:t>1.</w:t>
      </w:r>
      <w:r w:rsidRPr="00591BD8">
        <w:tab/>
      </w:r>
      <w:r w:rsidRPr="00591BD8">
        <w:rPr>
          <w:b/>
          <w:bCs/>
        </w:rPr>
        <w:t>Otočte a odstraňte</w:t>
      </w:r>
      <w:r w:rsidRPr="00591BD8">
        <w:t xml:space="preserve"> červené dno lahve přípravku </w:t>
      </w:r>
      <w:proofErr w:type="spellStart"/>
      <w:r w:rsidRPr="00591BD8">
        <w:t>Ingelvac</w:t>
      </w:r>
      <w:proofErr w:type="spellEnd"/>
      <w:r w:rsidRPr="00591BD8">
        <w:t xml:space="preserve"> </w:t>
      </w:r>
      <w:proofErr w:type="spellStart"/>
      <w:r w:rsidRPr="00591BD8">
        <w:t>MycoFLEX</w:t>
      </w:r>
      <w:proofErr w:type="spellEnd"/>
      <w:r w:rsidR="005F1BB4" w:rsidRPr="00591BD8">
        <w:t>, čímž</w:t>
      </w:r>
      <w:r w:rsidRPr="00591BD8">
        <w:t xml:space="preserve"> odkryjete připojovací systém. Červené dno lze použít jako stojánek pro postavení lahve přípravku </w:t>
      </w:r>
      <w:proofErr w:type="spellStart"/>
      <w:r w:rsidRPr="00591BD8">
        <w:t>Ingelvac</w:t>
      </w:r>
      <w:proofErr w:type="spellEnd"/>
      <w:r w:rsidRPr="00591BD8">
        <w:t xml:space="preserve"> </w:t>
      </w:r>
      <w:proofErr w:type="spellStart"/>
      <w:r w:rsidRPr="00591BD8">
        <w:t>MycoFLEX</w:t>
      </w:r>
      <w:proofErr w:type="spellEnd"/>
      <w:r w:rsidRPr="00591BD8">
        <w:t xml:space="preserve"> </w:t>
      </w:r>
      <w:r w:rsidR="005F1BB4" w:rsidRPr="00591BD8">
        <w:t xml:space="preserve">dnem </w:t>
      </w:r>
      <w:r w:rsidRPr="00591BD8">
        <w:t>vzhůru.</w:t>
      </w:r>
    </w:p>
    <w:p w14:paraId="6C3F1906" w14:textId="77777777" w:rsidR="005F1B1B" w:rsidRPr="00591BD8" w:rsidRDefault="005F1B1B" w:rsidP="005F1B1B">
      <w:pPr>
        <w:ind w:left="600" w:hanging="600"/>
      </w:pPr>
      <w:r w:rsidRPr="00591BD8">
        <w:tab/>
        <w:t xml:space="preserve">Otočte a odstraňte zelené dno lahve přípravku </w:t>
      </w:r>
      <w:proofErr w:type="spellStart"/>
      <w:r w:rsidRPr="00591BD8">
        <w:t>Ingelvac</w:t>
      </w:r>
      <w:proofErr w:type="spellEnd"/>
      <w:r w:rsidRPr="00591BD8">
        <w:t xml:space="preserve"> </w:t>
      </w:r>
      <w:proofErr w:type="spellStart"/>
      <w:r w:rsidRPr="00591BD8">
        <w:t>CircoFLEX</w:t>
      </w:r>
      <w:proofErr w:type="spellEnd"/>
      <w:r w:rsidRPr="00591BD8">
        <w:t>.</w:t>
      </w:r>
    </w:p>
    <w:p w14:paraId="4BAFDAB6" w14:textId="085F0C33" w:rsidR="005F1B1B" w:rsidRPr="00591BD8" w:rsidRDefault="005F1B1B" w:rsidP="005F1B1B">
      <w:pPr>
        <w:ind w:left="600" w:hanging="600"/>
      </w:pPr>
      <w:r w:rsidRPr="00591BD8">
        <w:t>2.</w:t>
      </w:r>
      <w:r w:rsidRPr="00591BD8">
        <w:tab/>
      </w:r>
      <w:r w:rsidRPr="00591BD8">
        <w:rPr>
          <w:b/>
          <w:bCs/>
        </w:rPr>
        <w:t xml:space="preserve">Otočte a </w:t>
      </w:r>
      <w:r w:rsidR="005F1BB4" w:rsidRPr="00591BD8">
        <w:rPr>
          <w:b/>
          <w:bCs/>
        </w:rPr>
        <w:t>vy</w:t>
      </w:r>
      <w:r w:rsidRPr="00591BD8">
        <w:rPr>
          <w:b/>
          <w:bCs/>
        </w:rPr>
        <w:t>rovnejte</w:t>
      </w:r>
      <w:r w:rsidRPr="00591BD8">
        <w:t xml:space="preserve"> připojovací konce obou lahví, až se spojí.</w:t>
      </w:r>
    </w:p>
    <w:p w14:paraId="346668BC" w14:textId="1676621B" w:rsidR="005F1B1B" w:rsidRPr="00591BD8" w:rsidRDefault="005F1B1B" w:rsidP="005F1B1B">
      <w:pPr>
        <w:ind w:left="600" w:hanging="600"/>
      </w:pPr>
      <w:r w:rsidRPr="00591BD8">
        <w:t>3.</w:t>
      </w:r>
      <w:r w:rsidRPr="00591BD8">
        <w:tab/>
      </w:r>
      <w:r w:rsidRPr="00591BD8">
        <w:rPr>
          <w:b/>
          <w:bCs/>
        </w:rPr>
        <w:t>Pevně přitlačte</w:t>
      </w:r>
      <w:r w:rsidRPr="00591BD8">
        <w:t xml:space="preserve"> lahve k sobě, aby se vzájemně zcela dotýkaly.</w:t>
      </w:r>
    </w:p>
    <w:p w14:paraId="57CCCE5C" w14:textId="77777777" w:rsidR="005F1B1B" w:rsidRPr="00591BD8" w:rsidRDefault="005F1B1B" w:rsidP="005F1B1B">
      <w:pPr>
        <w:ind w:left="600" w:hanging="600"/>
      </w:pPr>
      <w:r w:rsidRPr="00591BD8">
        <w:tab/>
        <w:t>Zvuk kliknutí potvrdí, že jsou lahve spojené.</w:t>
      </w:r>
    </w:p>
    <w:p w14:paraId="671585FF" w14:textId="63A17857" w:rsidR="005F1B1B" w:rsidRPr="00591BD8" w:rsidRDefault="005F1B1B" w:rsidP="005F1B1B">
      <w:pPr>
        <w:ind w:left="600" w:hanging="600"/>
      </w:pPr>
      <w:r w:rsidRPr="00591BD8">
        <w:t>4.</w:t>
      </w:r>
      <w:r w:rsidRPr="00591BD8">
        <w:tab/>
      </w:r>
      <w:r w:rsidRPr="00591BD8">
        <w:rPr>
          <w:b/>
          <w:bCs/>
        </w:rPr>
        <w:t>Otočte</w:t>
      </w:r>
      <w:r w:rsidRPr="00591BD8">
        <w:t xml:space="preserve"> obě lahve vakcíny ve směru hodinových ručiček a dokončete spojení obou lahví.</w:t>
      </w:r>
    </w:p>
    <w:p w14:paraId="3FC27B07" w14:textId="4531930C" w:rsidR="005F1B1B" w:rsidRPr="00591BD8" w:rsidRDefault="005F1B1B" w:rsidP="005F1B1B">
      <w:pPr>
        <w:ind w:left="600" w:hanging="600"/>
      </w:pPr>
      <w:r w:rsidRPr="00591BD8">
        <w:t>5.</w:t>
      </w:r>
      <w:r w:rsidRPr="00591BD8">
        <w:tab/>
        <w:t xml:space="preserve">K zajištění správného smíchání, pomalu </w:t>
      </w:r>
      <w:r w:rsidRPr="00591BD8">
        <w:rPr>
          <w:b/>
          <w:bCs/>
        </w:rPr>
        <w:t>obracejte</w:t>
      </w:r>
      <w:r w:rsidRPr="00591BD8">
        <w:t xml:space="preserve"> uzamčené lahve, dokud nemá směs homogenní oranžovo</w:t>
      </w:r>
      <w:r w:rsidR="005F1BB4" w:rsidRPr="00591BD8">
        <w:t>u až na</w:t>
      </w:r>
      <w:r w:rsidRPr="00591BD8">
        <w:t>červe</w:t>
      </w:r>
      <w:r w:rsidR="005F1BB4" w:rsidRPr="00591BD8">
        <w:t>nal</w:t>
      </w:r>
      <w:r w:rsidRPr="00591BD8">
        <w:t xml:space="preserve">ou barvu. Během vakcinace je nutno sledovat homogennost zabarvení směsi a udržovat ji nepřetržitým promícháváním. </w:t>
      </w:r>
    </w:p>
    <w:p w14:paraId="22F68AE5" w14:textId="5F689224" w:rsidR="005F1B1B" w:rsidRPr="00591BD8" w:rsidRDefault="005F1B1B" w:rsidP="005F1B1B">
      <w:pPr>
        <w:ind w:left="600" w:hanging="600"/>
      </w:pPr>
      <w:r w:rsidRPr="00591BD8">
        <w:t>6.</w:t>
      </w:r>
      <w:r w:rsidRPr="00591BD8">
        <w:tab/>
        <w:t>Podejte praseti jednu dávku (</w:t>
      </w:r>
      <w:r w:rsidRPr="00591BD8">
        <w:rPr>
          <w:b/>
          <w:bCs/>
        </w:rPr>
        <w:t>2 ml</w:t>
      </w:r>
      <w:r w:rsidRPr="00591BD8">
        <w:t xml:space="preserve">) směsi intramuskulárně bez ohledu na živou hmotnost. Vakcinační </w:t>
      </w:r>
      <w:r w:rsidR="005F1BB4" w:rsidRPr="00591BD8">
        <w:t>automat</w:t>
      </w:r>
      <w:r w:rsidRPr="00591BD8">
        <w:t xml:space="preserve"> používejte podle návodu k použití poskytnutého výrobcem. </w:t>
      </w:r>
    </w:p>
    <w:p w14:paraId="673B3461" w14:textId="77777777" w:rsidR="005F1B1B" w:rsidRPr="00591BD8" w:rsidRDefault="005F1B1B" w:rsidP="00C6717E">
      <w:pPr>
        <w:rPr>
          <w:bCs/>
        </w:rPr>
      </w:pPr>
    </w:p>
    <w:p w14:paraId="65554820" w14:textId="77777777" w:rsidR="00C6717E" w:rsidRPr="00591BD8" w:rsidRDefault="00C6717E" w:rsidP="00C6717E">
      <w:pPr>
        <w:ind w:left="0" w:firstLine="0"/>
        <w:rPr>
          <w:bCs/>
        </w:rPr>
      </w:pPr>
      <w:r w:rsidRPr="00591BD8">
        <w:rPr>
          <w:bCs/>
        </w:rPr>
        <w:t>Použ</w:t>
      </w:r>
      <w:r w:rsidR="005F1B1B" w:rsidRPr="00591BD8">
        <w:rPr>
          <w:bCs/>
        </w:rPr>
        <w:t>ijte</w:t>
      </w:r>
      <w:r w:rsidRPr="00591BD8">
        <w:rPr>
          <w:bCs/>
        </w:rPr>
        <w:t xml:space="preserve"> celou vakcinační</w:t>
      </w:r>
      <w:r w:rsidRPr="00591BD8" w:rsidDel="00FC6D26">
        <w:rPr>
          <w:bCs/>
        </w:rPr>
        <w:t xml:space="preserve"> </w:t>
      </w:r>
      <w:r w:rsidRPr="00591BD8">
        <w:rPr>
          <w:iCs/>
        </w:rPr>
        <w:t>směs</w:t>
      </w:r>
      <w:r w:rsidRPr="00591BD8">
        <w:rPr>
          <w:bCs/>
        </w:rPr>
        <w:t xml:space="preserve"> </w:t>
      </w:r>
      <w:r w:rsidR="005F1B1B" w:rsidRPr="00591BD8">
        <w:rPr>
          <w:bCs/>
        </w:rPr>
        <w:t xml:space="preserve">ihned </w:t>
      </w:r>
      <w:r w:rsidRPr="00591BD8">
        <w:rPr>
          <w:bCs/>
        </w:rPr>
        <w:t xml:space="preserve">po </w:t>
      </w:r>
      <w:r w:rsidR="005F1B1B" w:rsidRPr="00591BD8">
        <w:rPr>
          <w:bCs/>
        </w:rPr>
        <w:t>s</w:t>
      </w:r>
      <w:r w:rsidRPr="00591BD8">
        <w:rPr>
          <w:bCs/>
        </w:rPr>
        <w:t xml:space="preserve">míchání. Každá nepoužitá směs </w:t>
      </w:r>
      <w:r w:rsidRPr="00591BD8">
        <w:rPr>
          <w:szCs w:val="22"/>
        </w:rPr>
        <w:t>nebo odpad, který pochází z</w:t>
      </w:r>
      <w:r w:rsidR="00591BD8">
        <w:rPr>
          <w:szCs w:val="22"/>
        </w:rPr>
        <w:t> </w:t>
      </w:r>
      <w:r w:rsidRPr="00591BD8">
        <w:rPr>
          <w:szCs w:val="22"/>
        </w:rPr>
        <w:t xml:space="preserve">tohoto přípravku, </w:t>
      </w:r>
      <w:r w:rsidRPr="00591BD8">
        <w:t>musí být likvidován podle místních právních předpisů</w:t>
      </w:r>
      <w:r w:rsidRPr="00591BD8">
        <w:rPr>
          <w:bCs/>
        </w:rPr>
        <w:t>.</w:t>
      </w:r>
    </w:p>
    <w:p w14:paraId="13BCDA21" w14:textId="77777777" w:rsidR="00C6717E" w:rsidRPr="00591BD8" w:rsidRDefault="00C6717E" w:rsidP="00C6717E">
      <w:pPr>
        <w:rPr>
          <w:szCs w:val="22"/>
        </w:rPr>
      </w:pPr>
    </w:p>
    <w:p w14:paraId="4F08EA0C" w14:textId="77777777" w:rsidR="00C6717E" w:rsidRPr="00591BD8" w:rsidRDefault="00C6717E" w:rsidP="00C6717E">
      <w:r w:rsidRPr="00591BD8">
        <w:t xml:space="preserve">Před podáním </w:t>
      </w:r>
      <w:r w:rsidR="005F1B1B" w:rsidRPr="00591BD8">
        <w:t>s</w:t>
      </w:r>
      <w:r w:rsidRPr="00591BD8">
        <w:t xml:space="preserve">míchané směsi si přečtete příbalovou informaci pro vakcínu </w:t>
      </w:r>
      <w:proofErr w:type="spellStart"/>
      <w:r w:rsidRPr="00591BD8">
        <w:t>Ingelvac</w:t>
      </w:r>
      <w:proofErr w:type="spellEnd"/>
      <w:r w:rsidRPr="00591BD8">
        <w:t xml:space="preserve"> </w:t>
      </w:r>
      <w:proofErr w:type="spellStart"/>
      <w:r w:rsidRPr="00591BD8">
        <w:t>CircoFLEX</w:t>
      </w:r>
      <w:proofErr w:type="spellEnd"/>
      <w:r w:rsidRPr="00591BD8">
        <w:t>.</w:t>
      </w:r>
    </w:p>
    <w:p w14:paraId="2407A1D5" w14:textId="77777777" w:rsidR="00C6717E" w:rsidRPr="00591BD8" w:rsidRDefault="00C6717E" w:rsidP="00C6717E">
      <w:pPr>
        <w:rPr>
          <w:szCs w:val="22"/>
        </w:rPr>
      </w:pPr>
    </w:p>
    <w:p w14:paraId="214B6D16" w14:textId="77777777" w:rsidR="007459B9" w:rsidRPr="00B41D57" w:rsidRDefault="007459B9" w:rsidP="007459B9">
      <w:pPr>
        <w:pStyle w:val="Style1"/>
      </w:pPr>
      <w:r w:rsidRPr="00B41D57">
        <w:t>3.10</w:t>
      </w:r>
      <w:r w:rsidRPr="00B41D57">
        <w:tab/>
        <w:t>Příznaky předávkování (a kde</w:t>
      </w:r>
      <w:r>
        <w:t xml:space="preserve"> </w:t>
      </w:r>
      <w:r w:rsidRPr="00B41D57">
        <w:t>je</w:t>
      </w:r>
      <w:r>
        <w:t xml:space="preserve"> </w:t>
      </w:r>
      <w:r w:rsidRPr="005E66FC">
        <w:t xml:space="preserve">relevantní, první pomoc a </w:t>
      </w:r>
      <w:proofErr w:type="spellStart"/>
      <w:r w:rsidRPr="005E66FC">
        <w:t>antidota</w:t>
      </w:r>
      <w:proofErr w:type="spellEnd"/>
      <w:r w:rsidRPr="005E66FC">
        <w:t xml:space="preserve">) </w:t>
      </w:r>
    </w:p>
    <w:p w14:paraId="26B11B36" w14:textId="77777777" w:rsidR="00C6717E" w:rsidRPr="00591BD8" w:rsidRDefault="00C6717E" w:rsidP="00C6717E">
      <w:pPr>
        <w:tabs>
          <w:tab w:val="left" w:pos="851"/>
          <w:tab w:val="left" w:pos="1260"/>
        </w:tabs>
        <w:rPr>
          <w:szCs w:val="22"/>
        </w:rPr>
      </w:pPr>
    </w:p>
    <w:p w14:paraId="736DBB5C" w14:textId="2249607A" w:rsidR="00C6717E" w:rsidRPr="00591BD8" w:rsidRDefault="00C6717E" w:rsidP="00C6717E">
      <w:pPr>
        <w:tabs>
          <w:tab w:val="left" w:pos="851"/>
          <w:tab w:val="left" w:pos="1260"/>
        </w:tabs>
        <w:ind w:left="0" w:firstLine="0"/>
        <w:rPr>
          <w:szCs w:val="22"/>
        </w:rPr>
      </w:pPr>
      <w:r w:rsidRPr="00591BD8">
        <w:rPr>
          <w:szCs w:val="22"/>
        </w:rPr>
        <w:t xml:space="preserve">Po </w:t>
      </w:r>
      <w:r w:rsidR="00563DD0">
        <w:rPr>
          <w:szCs w:val="22"/>
        </w:rPr>
        <w:t>podání</w:t>
      </w:r>
      <w:r w:rsidR="00563DD0" w:rsidRPr="00591BD8">
        <w:rPr>
          <w:szCs w:val="22"/>
        </w:rPr>
        <w:t xml:space="preserve"> </w:t>
      </w:r>
      <w:r w:rsidRPr="00591BD8">
        <w:rPr>
          <w:szCs w:val="22"/>
        </w:rPr>
        <w:t xml:space="preserve">4násobné dávky nebyly pozorovány žádné nežádoucí účinky kromě těch, které jsou uvedeny v bodu </w:t>
      </w:r>
      <w:r w:rsidR="00563DD0">
        <w:rPr>
          <w:szCs w:val="22"/>
        </w:rPr>
        <w:t>3</w:t>
      </w:r>
      <w:r w:rsidRPr="00591BD8">
        <w:rPr>
          <w:szCs w:val="22"/>
        </w:rPr>
        <w:t>.6.</w:t>
      </w:r>
    </w:p>
    <w:p w14:paraId="53B9A2F8" w14:textId="77777777" w:rsidR="00C6717E" w:rsidRDefault="00C6717E" w:rsidP="00C6717E">
      <w:pPr>
        <w:rPr>
          <w:szCs w:val="22"/>
        </w:rPr>
      </w:pPr>
    </w:p>
    <w:p w14:paraId="65FAF7FA" w14:textId="77777777" w:rsidR="007459B9" w:rsidRPr="00B41D57" w:rsidRDefault="007459B9" w:rsidP="007459B9">
      <w:pPr>
        <w:pStyle w:val="Style1"/>
      </w:pPr>
      <w:r w:rsidRPr="00B41D57"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56BDC9C" w14:textId="77777777" w:rsidR="007459B9" w:rsidRDefault="007459B9" w:rsidP="00C6717E">
      <w:pPr>
        <w:rPr>
          <w:szCs w:val="22"/>
        </w:rPr>
      </w:pPr>
    </w:p>
    <w:p w14:paraId="17DBEFEC" w14:textId="2E8FBB3F" w:rsidR="007459B9" w:rsidRPr="00B41D57" w:rsidRDefault="007459B9" w:rsidP="007459B9">
      <w:pPr>
        <w:rPr>
          <w:szCs w:val="22"/>
        </w:rPr>
      </w:pPr>
      <w:r w:rsidRPr="00B41D57">
        <w:t>Neuplatňuje se.</w:t>
      </w:r>
    </w:p>
    <w:p w14:paraId="0ECCBCBD" w14:textId="77777777" w:rsidR="007459B9" w:rsidRPr="00591BD8" w:rsidRDefault="007459B9" w:rsidP="00C6717E">
      <w:pPr>
        <w:rPr>
          <w:szCs w:val="22"/>
        </w:rPr>
      </w:pPr>
    </w:p>
    <w:p w14:paraId="26DAEB6C" w14:textId="77777777" w:rsidR="007459B9" w:rsidRPr="00B41D57" w:rsidRDefault="007459B9" w:rsidP="00045679">
      <w:pPr>
        <w:pStyle w:val="Style1"/>
        <w:keepNext/>
      </w:pPr>
      <w:r w:rsidRPr="00B41D57">
        <w:lastRenderedPageBreak/>
        <w:t>3.12</w:t>
      </w:r>
      <w:r w:rsidRPr="00B41D57">
        <w:tab/>
        <w:t>Ochranné lhůty</w:t>
      </w:r>
    </w:p>
    <w:p w14:paraId="11DCD7D7" w14:textId="77777777" w:rsidR="00C6717E" w:rsidRPr="00591BD8" w:rsidRDefault="00C6717E" w:rsidP="00C6717E">
      <w:pPr>
        <w:rPr>
          <w:szCs w:val="22"/>
        </w:rPr>
      </w:pPr>
    </w:p>
    <w:p w14:paraId="60511FE8" w14:textId="77777777" w:rsidR="00C6717E" w:rsidRPr="00591BD8" w:rsidRDefault="00C6717E" w:rsidP="00C6717E">
      <w:pPr>
        <w:rPr>
          <w:szCs w:val="22"/>
        </w:rPr>
      </w:pPr>
      <w:r w:rsidRPr="00591BD8">
        <w:rPr>
          <w:szCs w:val="22"/>
        </w:rPr>
        <w:t>Bez ochranných lhůt.</w:t>
      </w:r>
    </w:p>
    <w:p w14:paraId="2341E817" w14:textId="77777777" w:rsidR="00C6717E" w:rsidRPr="00591BD8" w:rsidRDefault="00C6717E" w:rsidP="00C6717E">
      <w:pPr>
        <w:rPr>
          <w:b/>
          <w:szCs w:val="22"/>
        </w:rPr>
      </w:pPr>
    </w:p>
    <w:p w14:paraId="327187E8" w14:textId="77777777" w:rsidR="00C6717E" w:rsidRPr="00591BD8" w:rsidRDefault="00C6717E" w:rsidP="00C6717E">
      <w:pPr>
        <w:rPr>
          <w:b/>
          <w:szCs w:val="22"/>
        </w:rPr>
      </w:pPr>
    </w:p>
    <w:p w14:paraId="319CFC10" w14:textId="23156511" w:rsidR="00C6717E" w:rsidRDefault="007459B9" w:rsidP="00C6717E">
      <w:pPr>
        <w:rPr>
          <w:b/>
          <w:szCs w:val="22"/>
        </w:rPr>
      </w:pPr>
      <w:r w:rsidRPr="007459B9">
        <w:rPr>
          <w:b/>
          <w:szCs w:val="22"/>
        </w:rPr>
        <w:t>4.</w:t>
      </w:r>
      <w:r w:rsidRPr="007459B9">
        <w:rPr>
          <w:b/>
          <w:szCs w:val="22"/>
        </w:rPr>
        <w:tab/>
        <w:t>IMUNOLOGICKÉ INFORMACE</w:t>
      </w:r>
    </w:p>
    <w:p w14:paraId="66AA511C" w14:textId="77777777" w:rsidR="007459B9" w:rsidRPr="00591BD8" w:rsidRDefault="007459B9" w:rsidP="00C6717E">
      <w:pPr>
        <w:rPr>
          <w:szCs w:val="22"/>
        </w:rPr>
      </w:pPr>
    </w:p>
    <w:p w14:paraId="03D002B7" w14:textId="6FEFA18C" w:rsidR="00C6717E" w:rsidRPr="00591BD8" w:rsidRDefault="007459B9" w:rsidP="00563DD0">
      <w:pPr>
        <w:tabs>
          <w:tab w:val="left" w:pos="3119"/>
        </w:tabs>
        <w:rPr>
          <w:szCs w:val="22"/>
        </w:rPr>
      </w:pPr>
      <w:r w:rsidRPr="007459B9">
        <w:rPr>
          <w:b/>
          <w:bCs/>
        </w:rPr>
        <w:t>4.1</w:t>
      </w:r>
      <w:r w:rsidRPr="007459B9">
        <w:rPr>
          <w:b/>
          <w:bCs/>
        </w:rPr>
        <w:tab/>
      </w:r>
      <w:proofErr w:type="spellStart"/>
      <w:r w:rsidRPr="007459B9">
        <w:rPr>
          <w:b/>
          <w:bCs/>
        </w:rPr>
        <w:t>ATCvet</w:t>
      </w:r>
      <w:proofErr w:type="spellEnd"/>
      <w:r w:rsidRPr="007459B9">
        <w:rPr>
          <w:b/>
          <w:bCs/>
        </w:rPr>
        <w:t xml:space="preserve"> kód:</w:t>
      </w:r>
      <w:r w:rsidR="00563DD0">
        <w:rPr>
          <w:szCs w:val="22"/>
        </w:rPr>
        <w:t xml:space="preserve"> </w:t>
      </w:r>
      <w:r w:rsidR="00C6717E" w:rsidRPr="00591BD8">
        <w:rPr>
          <w:szCs w:val="22"/>
        </w:rPr>
        <w:t xml:space="preserve">QI09AB13 </w:t>
      </w:r>
    </w:p>
    <w:p w14:paraId="5E04E7AB" w14:textId="77777777" w:rsidR="00C6717E" w:rsidRPr="00591BD8" w:rsidRDefault="00C6717E" w:rsidP="00C6717E">
      <w:pPr>
        <w:ind w:left="0" w:firstLine="0"/>
        <w:rPr>
          <w:b/>
          <w:szCs w:val="22"/>
        </w:rPr>
      </w:pPr>
    </w:p>
    <w:p w14:paraId="7D386601" w14:textId="77777777" w:rsidR="00C6717E" w:rsidRPr="00591BD8" w:rsidRDefault="00C6717E" w:rsidP="00C6717E">
      <w:pPr>
        <w:ind w:left="0" w:firstLine="0"/>
        <w:rPr>
          <w:szCs w:val="22"/>
        </w:rPr>
      </w:pPr>
      <w:r w:rsidRPr="00591BD8">
        <w:rPr>
          <w:szCs w:val="22"/>
        </w:rPr>
        <w:t xml:space="preserve">Vakcína je určena k aktivní imunizaci proti </w:t>
      </w:r>
      <w:proofErr w:type="spellStart"/>
      <w:r w:rsidRPr="00591BD8">
        <w:rPr>
          <w:rFonts w:cs="Arial"/>
          <w:i/>
          <w:szCs w:val="22"/>
        </w:rPr>
        <w:t>Mycoplasma</w:t>
      </w:r>
      <w:proofErr w:type="spellEnd"/>
      <w:r w:rsidRPr="00591BD8">
        <w:rPr>
          <w:rFonts w:cs="Arial"/>
          <w:i/>
          <w:szCs w:val="22"/>
        </w:rPr>
        <w:t xml:space="preserve"> </w:t>
      </w:r>
      <w:proofErr w:type="spellStart"/>
      <w:r w:rsidRPr="00591BD8">
        <w:rPr>
          <w:rFonts w:cs="Arial"/>
          <w:i/>
          <w:szCs w:val="22"/>
        </w:rPr>
        <w:t>hyopneumoniae</w:t>
      </w:r>
      <w:proofErr w:type="spellEnd"/>
      <w:r w:rsidR="00855DAD" w:rsidRPr="00591BD8">
        <w:rPr>
          <w:rFonts w:cs="Arial"/>
          <w:i/>
          <w:szCs w:val="22"/>
        </w:rPr>
        <w:t xml:space="preserve"> </w:t>
      </w:r>
      <w:r w:rsidR="00855DAD" w:rsidRPr="00591BD8">
        <w:rPr>
          <w:rFonts w:cs="Arial"/>
          <w:szCs w:val="22"/>
        </w:rPr>
        <w:t>u prasat</w:t>
      </w:r>
      <w:r w:rsidRPr="00591BD8">
        <w:rPr>
          <w:szCs w:val="22"/>
        </w:rPr>
        <w:t>.</w:t>
      </w:r>
    </w:p>
    <w:p w14:paraId="77AE413A" w14:textId="77777777" w:rsidR="00C6717E" w:rsidRPr="00591BD8" w:rsidRDefault="00C6717E" w:rsidP="00C6717E">
      <w:pPr>
        <w:ind w:left="0" w:firstLine="0"/>
        <w:rPr>
          <w:szCs w:val="22"/>
        </w:rPr>
      </w:pPr>
    </w:p>
    <w:p w14:paraId="73093A7D" w14:textId="77777777" w:rsidR="00C6717E" w:rsidRPr="00591BD8" w:rsidRDefault="00C6717E" w:rsidP="00C6717E">
      <w:pPr>
        <w:ind w:left="0" w:firstLine="0"/>
        <w:rPr>
          <w:szCs w:val="22"/>
        </w:rPr>
      </w:pPr>
    </w:p>
    <w:p w14:paraId="128C5CA6" w14:textId="57156926" w:rsidR="00C6717E" w:rsidRPr="00591BD8" w:rsidRDefault="007459B9" w:rsidP="001F6709">
      <w:pPr>
        <w:pStyle w:val="Style1"/>
      </w:pPr>
      <w:r w:rsidRPr="00B41D57">
        <w:t>5.</w:t>
      </w:r>
      <w:r w:rsidRPr="00B41D57">
        <w:tab/>
        <w:t>FARMACEUTICKÉ ÚDAJE</w:t>
      </w:r>
    </w:p>
    <w:p w14:paraId="779D80E5" w14:textId="77777777" w:rsidR="00C6717E" w:rsidRPr="00591BD8" w:rsidRDefault="00C6717E" w:rsidP="00C6717E">
      <w:pPr>
        <w:rPr>
          <w:b/>
          <w:szCs w:val="22"/>
        </w:rPr>
      </w:pPr>
    </w:p>
    <w:p w14:paraId="4288240C" w14:textId="77777777" w:rsidR="007459B9" w:rsidRPr="00B41D57" w:rsidRDefault="007459B9" w:rsidP="007459B9">
      <w:pPr>
        <w:pStyle w:val="Style1"/>
      </w:pPr>
      <w:r w:rsidRPr="00B41D57">
        <w:t>5.1</w:t>
      </w:r>
      <w:r w:rsidRPr="00B41D57">
        <w:tab/>
        <w:t>Hlavní inkompatibility</w:t>
      </w:r>
    </w:p>
    <w:p w14:paraId="3395C033" w14:textId="77777777" w:rsidR="00C6717E" w:rsidRPr="00591BD8" w:rsidRDefault="00C6717E" w:rsidP="00C6717E">
      <w:pPr>
        <w:rPr>
          <w:szCs w:val="22"/>
        </w:rPr>
      </w:pPr>
    </w:p>
    <w:p w14:paraId="12FB3F45" w14:textId="77777777" w:rsidR="00C6717E" w:rsidRPr="00591BD8" w:rsidRDefault="00C6717E" w:rsidP="00C6717E">
      <w:pPr>
        <w:ind w:left="0" w:firstLine="0"/>
        <w:rPr>
          <w:szCs w:val="22"/>
        </w:rPr>
      </w:pPr>
      <w:r w:rsidRPr="00591BD8">
        <w:t xml:space="preserve">Nemísit </w:t>
      </w:r>
      <w:r w:rsidRPr="00591BD8">
        <w:rPr>
          <w:szCs w:val="22"/>
        </w:rPr>
        <w:t xml:space="preserve">s jiným veterinárním léčivým přípravkem s výjimkou vakcíny </w:t>
      </w:r>
      <w:proofErr w:type="spellStart"/>
      <w:r w:rsidRPr="00591BD8">
        <w:rPr>
          <w:szCs w:val="22"/>
        </w:rPr>
        <w:t>Ingelvac</w:t>
      </w:r>
      <w:proofErr w:type="spellEnd"/>
      <w:r w:rsidRPr="00591BD8">
        <w:rPr>
          <w:szCs w:val="22"/>
        </w:rPr>
        <w:t xml:space="preserve"> </w:t>
      </w:r>
      <w:proofErr w:type="spellStart"/>
      <w:r w:rsidRPr="00591BD8">
        <w:rPr>
          <w:szCs w:val="22"/>
        </w:rPr>
        <w:t>CircoFLEX</w:t>
      </w:r>
      <w:proofErr w:type="spellEnd"/>
      <w:r w:rsidRPr="00591BD8">
        <w:rPr>
          <w:szCs w:val="22"/>
        </w:rPr>
        <w:t xml:space="preserve"> společnosti </w:t>
      </w:r>
      <w:proofErr w:type="spellStart"/>
      <w:r w:rsidRPr="00591BD8">
        <w:rPr>
          <w:szCs w:val="22"/>
        </w:rPr>
        <w:t>Boehringer</w:t>
      </w:r>
      <w:proofErr w:type="spellEnd"/>
      <w:r w:rsidRPr="00591BD8">
        <w:rPr>
          <w:szCs w:val="22"/>
        </w:rPr>
        <w:t xml:space="preserve"> Ingelheim.</w:t>
      </w:r>
    </w:p>
    <w:p w14:paraId="4BB6EC45" w14:textId="77777777" w:rsidR="00C6717E" w:rsidRPr="00591BD8" w:rsidRDefault="00C6717E" w:rsidP="00C6717E">
      <w:pPr>
        <w:rPr>
          <w:szCs w:val="22"/>
        </w:rPr>
      </w:pPr>
    </w:p>
    <w:p w14:paraId="4392E15E" w14:textId="08C19ADC" w:rsidR="00C6717E" w:rsidRPr="00591BD8" w:rsidRDefault="007459B9" w:rsidP="00C6717E">
      <w:pPr>
        <w:rPr>
          <w:szCs w:val="22"/>
        </w:rPr>
      </w:pPr>
      <w:r w:rsidRPr="007459B9">
        <w:rPr>
          <w:b/>
          <w:szCs w:val="22"/>
        </w:rPr>
        <w:t>5.2</w:t>
      </w:r>
      <w:r w:rsidRPr="007459B9">
        <w:rPr>
          <w:b/>
          <w:szCs w:val="22"/>
        </w:rPr>
        <w:tab/>
        <w:t>Doba použitelnosti</w:t>
      </w:r>
    </w:p>
    <w:p w14:paraId="74DCA5DE" w14:textId="77777777" w:rsidR="00C6717E" w:rsidRPr="00591BD8" w:rsidRDefault="00C6717E" w:rsidP="00C6717E">
      <w:pPr>
        <w:ind w:right="-318"/>
        <w:rPr>
          <w:szCs w:val="22"/>
        </w:rPr>
      </w:pPr>
    </w:p>
    <w:p w14:paraId="4FD423DE" w14:textId="77777777" w:rsidR="00C6717E" w:rsidRPr="00591BD8" w:rsidRDefault="00C6717E" w:rsidP="00C6717E">
      <w:pPr>
        <w:ind w:right="-318"/>
        <w:rPr>
          <w:szCs w:val="22"/>
        </w:rPr>
      </w:pPr>
      <w:r w:rsidRPr="00591BD8">
        <w:rPr>
          <w:szCs w:val="22"/>
        </w:rPr>
        <w:t xml:space="preserve">Doba použitelnosti veterinárního léčivého přípravku v neporušeném obalu: </w:t>
      </w:r>
      <w:r w:rsidR="00855DAD" w:rsidRPr="00591BD8">
        <w:rPr>
          <w:szCs w:val="22"/>
        </w:rPr>
        <w:t>2 roky</w:t>
      </w:r>
      <w:r w:rsidRPr="00591BD8">
        <w:rPr>
          <w:szCs w:val="22"/>
        </w:rPr>
        <w:t xml:space="preserve">. </w:t>
      </w:r>
    </w:p>
    <w:p w14:paraId="1870DCFC" w14:textId="77777777" w:rsidR="00C6717E" w:rsidRPr="00591BD8" w:rsidRDefault="00C6717E" w:rsidP="00C6717E">
      <w:pPr>
        <w:tabs>
          <w:tab w:val="left" w:pos="7088"/>
        </w:tabs>
        <w:ind w:left="0" w:firstLine="0"/>
        <w:rPr>
          <w:color w:val="000000"/>
          <w:szCs w:val="22"/>
          <w:lang w:eastAsia="de-AT"/>
        </w:rPr>
      </w:pPr>
      <w:r w:rsidRPr="00591BD8">
        <w:rPr>
          <w:color w:val="000000"/>
          <w:szCs w:val="22"/>
          <w:lang w:eastAsia="de-AT"/>
        </w:rPr>
        <w:t xml:space="preserve">Doba použitelnosti po prvním otevření vnitřního obalu: </w:t>
      </w:r>
      <w:r w:rsidRPr="00591BD8">
        <w:rPr>
          <w:color w:val="000000"/>
          <w:szCs w:val="22"/>
        </w:rPr>
        <w:t>10 hodin</w:t>
      </w:r>
      <w:r w:rsidRPr="00591BD8">
        <w:rPr>
          <w:color w:val="000000"/>
          <w:szCs w:val="22"/>
          <w:lang w:eastAsia="de-AT"/>
        </w:rPr>
        <w:t>.</w:t>
      </w:r>
    </w:p>
    <w:p w14:paraId="3CDA6126" w14:textId="77777777" w:rsidR="00C6717E" w:rsidRPr="00591BD8" w:rsidRDefault="00C6717E" w:rsidP="00C6717E">
      <w:pPr>
        <w:ind w:right="-318"/>
        <w:rPr>
          <w:szCs w:val="22"/>
        </w:rPr>
      </w:pPr>
    </w:p>
    <w:p w14:paraId="13016352" w14:textId="62114B73" w:rsidR="00C6717E" w:rsidRDefault="007459B9" w:rsidP="00C6717E">
      <w:pPr>
        <w:ind w:right="-318"/>
        <w:rPr>
          <w:b/>
          <w:szCs w:val="22"/>
        </w:rPr>
      </w:pPr>
      <w:r w:rsidRPr="007459B9">
        <w:rPr>
          <w:b/>
          <w:szCs w:val="22"/>
        </w:rPr>
        <w:t>5.3</w:t>
      </w:r>
      <w:r w:rsidRPr="007459B9">
        <w:rPr>
          <w:b/>
          <w:szCs w:val="22"/>
        </w:rPr>
        <w:tab/>
        <w:t>Zvláštní opatření pro uchovávání</w:t>
      </w:r>
    </w:p>
    <w:p w14:paraId="27286BCB" w14:textId="77777777" w:rsidR="007459B9" w:rsidRPr="00591BD8" w:rsidRDefault="007459B9" w:rsidP="00C6717E">
      <w:pPr>
        <w:ind w:right="-318"/>
        <w:rPr>
          <w:szCs w:val="22"/>
        </w:rPr>
      </w:pPr>
    </w:p>
    <w:p w14:paraId="374C05A6" w14:textId="77777777" w:rsidR="00C6717E" w:rsidRPr="00591BD8" w:rsidRDefault="00C6717E" w:rsidP="00C6717E">
      <w:pPr>
        <w:ind w:right="-318"/>
        <w:rPr>
          <w:szCs w:val="22"/>
        </w:rPr>
      </w:pPr>
      <w:r w:rsidRPr="00591BD8">
        <w:rPr>
          <w:szCs w:val="22"/>
        </w:rPr>
        <w:t xml:space="preserve">Uchovávejte a přepravujte chlazené (2 °C – 8 °C). </w:t>
      </w:r>
    </w:p>
    <w:p w14:paraId="7A81885E" w14:textId="77777777" w:rsidR="00C6717E" w:rsidRPr="00591BD8" w:rsidRDefault="00C6717E" w:rsidP="00C6717E">
      <w:pPr>
        <w:ind w:left="0" w:right="-318" w:firstLine="0"/>
        <w:rPr>
          <w:szCs w:val="22"/>
        </w:rPr>
      </w:pPr>
      <w:r w:rsidRPr="00591BD8">
        <w:rPr>
          <w:szCs w:val="22"/>
        </w:rPr>
        <w:t xml:space="preserve">Chraňte před mrazem. </w:t>
      </w:r>
    </w:p>
    <w:p w14:paraId="565980E6" w14:textId="77777777" w:rsidR="00C6717E" w:rsidRPr="00591BD8" w:rsidRDefault="00C6717E" w:rsidP="00C6717E">
      <w:pPr>
        <w:ind w:left="0" w:right="-318" w:firstLine="0"/>
        <w:rPr>
          <w:szCs w:val="22"/>
        </w:rPr>
      </w:pPr>
      <w:r w:rsidRPr="00591BD8">
        <w:rPr>
          <w:szCs w:val="22"/>
        </w:rPr>
        <w:t>Chraňte před světlem.</w:t>
      </w:r>
    </w:p>
    <w:p w14:paraId="42B2D00C" w14:textId="77777777" w:rsidR="00C6717E" w:rsidRPr="00591BD8" w:rsidRDefault="00C6717E" w:rsidP="00C6717E">
      <w:pPr>
        <w:ind w:right="-318"/>
        <w:rPr>
          <w:szCs w:val="22"/>
        </w:rPr>
      </w:pPr>
    </w:p>
    <w:p w14:paraId="5184641C" w14:textId="77777777" w:rsidR="007459B9" w:rsidRPr="00B41D57" w:rsidRDefault="007459B9" w:rsidP="007459B9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B3A1425" w14:textId="77777777" w:rsidR="00C6717E" w:rsidRPr="00591BD8" w:rsidRDefault="00C6717E" w:rsidP="00C6717E">
      <w:pPr>
        <w:ind w:left="0" w:firstLine="0"/>
        <w:rPr>
          <w:szCs w:val="22"/>
          <w:lang w:eastAsia="de-DE"/>
        </w:rPr>
      </w:pPr>
    </w:p>
    <w:p w14:paraId="4F234744" w14:textId="154D874A" w:rsidR="00C6717E" w:rsidRPr="00591BD8" w:rsidRDefault="005A66A0" w:rsidP="00C6717E">
      <w:pPr>
        <w:ind w:left="0" w:firstLine="0"/>
        <w:rPr>
          <w:szCs w:val="22"/>
        </w:rPr>
      </w:pPr>
      <w:bookmarkStart w:id="4" w:name="_Hlk188428633"/>
      <w:r w:rsidRPr="00C05ED1">
        <w:rPr>
          <w:szCs w:val="22"/>
        </w:rPr>
        <w:t>Polyethylenové lahv</w:t>
      </w:r>
      <w:r w:rsidR="003028DF" w:rsidRPr="00C05ED1">
        <w:rPr>
          <w:szCs w:val="22"/>
        </w:rPr>
        <w:t>e</w:t>
      </w:r>
      <w:r w:rsidRPr="00C05ED1">
        <w:rPr>
          <w:szCs w:val="22"/>
        </w:rPr>
        <w:t xml:space="preserve"> o vysoké hustotě (HDPE)</w:t>
      </w:r>
      <w:r w:rsidR="00550045" w:rsidRPr="00C05ED1">
        <w:rPr>
          <w:szCs w:val="22"/>
        </w:rPr>
        <w:t xml:space="preserve"> po 10 ml (10 dávek), 50 ml (50 dávek), 100 ml</w:t>
      </w:r>
      <w:r w:rsidR="00070D94" w:rsidRPr="00C05ED1">
        <w:rPr>
          <w:szCs w:val="22"/>
        </w:rPr>
        <w:t xml:space="preserve"> (100 dávek) nebo 250 ml (250 dávek) nebo H</w:t>
      </w:r>
      <w:r w:rsidR="00D85EDA">
        <w:rPr>
          <w:szCs w:val="22"/>
        </w:rPr>
        <w:t>D</w:t>
      </w:r>
      <w:r w:rsidR="00070D94" w:rsidRPr="00C05ED1">
        <w:rPr>
          <w:szCs w:val="22"/>
        </w:rPr>
        <w:t xml:space="preserve">PE </w:t>
      </w:r>
      <w:proofErr w:type="spellStart"/>
      <w:r w:rsidR="00070D94" w:rsidRPr="00C05ED1">
        <w:rPr>
          <w:szCs w:val="22"/>
        </w:rPr>
        <w:t>TwistPak</w:t>
      </w:r>
      <w:proofErr w:type="spellEnd"/>
      <w:r w:rsidR="00070D94" w:rsidRPr="00C05ED1">
        <w:rPr>
          <w:szCs w:val="22"/>
        </w:rPr>
        <w:t xml:space="preserve"> lahv</w:t>
      </w:r>
      <w:r w:rsidR="003028DF" w:rsidRPr="00C05ED1">
        <w:rPr>
          <w:szCs w:val="22"/>
        </w:rPr>
        <w:t>e</w:t>
      </w:r>
      <w:r w:rsidR="00070D94" w:rsidRPr="00C05ED1">
        <w:rPr>
          <w:szCs w:val="22"/>
        </w:rPr>
        <w:t xml:space="preserve"> po 10 ml (10 dávek), 50 ml (50 dávek), 100 ml (100 dávek) nebo 250 ml (250 dávek)</w:t>
      </w:r>
      <w:r w:rsidR="003028DF" w:rsidRPr="00C05ED1">
        <w:rPr>
          <w:szCs w:val="22"/>
        </w:rPr>
        <w:t>.</w:t>
      </w:r>
      <w:r w:rsidR="00070D94" w:rsidRPr="00C05ED1">
        <w:rPr>
          <w:szCs w:val="22"/>
        </w:rPr>
        <w:t xml:space="preserve"> </w:t>
      </w:r>
      <w:r w:rsidR="00CE745E">
        <w:rPr>
          <w:szCs w:val="22"/>
          <w:lang w:eastAsia="de-DE"/>
        </w:rPr>
        <w:t>Každá lahev je uzavřená</w:t>
      </w:r>
      <w:r w:rsidR="00C6717E" w:rsidRPr="00591BD8">
        <w:rPr>
          <w:szCs w:val="22"/>
          <w:lang w:eastAsia="de-DE"/>
        </w:rPr>
        <w:t xml:space="preserve"> zátkou z </w:t>
      </w:r>
      <w:proofErr w:type="spellStart"/>
      <w:r w:rsidR="00C6717E" w:rsidRPr="00591BD8">
        <w:rPr>
          <w:szCs w:val="22"/>
          <w:lang w:eastAsia="de-DE"/>
        </w:rPr>
        <w:t>chlorobutylu</w:t>
      </w:r>
      <w:proofErr w:type="spellEnd"/>
      <w:r w:rsidR="00C6717E" w:rsidRPr="00591BD8">
        <w:rPr>
          <w:szCs w:val="22"/>
          <w:lang w:eastAsia="de-DE"/>
        </w:rPr>
        <w:t xml:space="preserve"> a lakovaným hliníkovým </w:t>
      </w:r>
      <w:proofErr w:type="spellStart"/>
      <w:r w:rsidR="00CE745E">
        <w:rPr>
          <w:szCs w:val="22"/>
          <w:lang w:eastAsia="de-DE"/>
        </w:rPr>
        <w:t>pertlem</w:t>
      </w:r>
      <w:proofErr w:type="spellEnd"/>
      <w:r w:rsidR="00C6717E" w:rsidRPr="00591BD8">
        <w:rPr>
          <w:szCs w:val="22"/>
          <w:lang w:eastAsia="de-DE"/>
        </w:rPr>
        <w:t>.</w:t>
      </w:r>
      <w:r w:rsidR="00C6717E" w:rsidRPr="00591BD8">
        <w:rPr>
          <w:szCs w:val="22"/>
        </w:rPr>
        <w:t xml:space="preserve"> </w:t>
      </w:r>
    </w:p>
    <w:p w14:paraId="189A099F" w14:textId="77777777" w:rsidR="004452BB" w:rsidRDefault="004452BB" w:rsidP="00C6717E">
      <w:pPr>
        <w:ind w:left="0" w:firstLine="0"/>
        <w:rPr>
          <w:szCs w:val="22"/>
        </w:rPr>
      </w:pPr>
    </w:p>
    <w:p w14:paraId="1771E834" w14:textId="0D15CE5A" w:rsidR="004331BE" w:rsidRDefault="000318BD" w:rsidP="00C6717E">
      <w:pPr>
        <w:ind w:left="0" w:firstLine="0"/>
        <w:rPr>
          <w:szCs w:val="22"/>
          <w:lang w:eastAsia="de-DE"/>
        </w:rPr>
      </w:pPr>
      <w:r w:rsidRPr="00591BD8">
        <w:rPr>
          <w:szCs w:val="22"/>
        </w:rPr>
        <w:t>Papírová krabička</w:t>
      </w:r>
      <w:r w:rsidRPr="00591BD8">
        <w:rPr>
          <w:szCs w:val="22"/>
          <w:lang w:eastAsia="de-DE"/>
        </w:rPr>
        <w:t xml:space="preserve"> </w:t>
      </w:r>
      <w:r>
        <w:rPr>
          <w:szCs w:val="22"/>
          <w:lang w:eastAsia="de-DE"/>
        </w:rPr>
        <w:t xml:space="preserve">s </w:t>
      </w:r>
      <w:r w:rsidRPr="00591BD8">
        <w:rPr>
          <w:szCs w:val="22"/>
          <w:lang w:eastAsia="de-DE"/>
        </w:rPr>
        <w:t>1 nebo 12 láhv</w:t>
      </w:r>
      <w:r>
        <w:rPr>
          <w:szCs w:val="22"/>
          <w:lang w:eastAsia="de-DE"/>
        </w:rPr>
        <w:t>emi.</w:t>
      </w:r>
    </w:p>
    <w:p w14:paraId="12745A0D" w14:textId="77777777" w:rsidR="000318BD" w:rsidRPr="00591BD8" w:rsidRDefault="000318BD" w:rsidP="00C6717E">
      <w:pPr>
        <w:ind w:left="0" w:firstLine="0"/>
        <w:rPr>
          <w:szCs w:val="22"/>
        </w:rPr>
      </w:pPr>
    </w:p>
    <w:p w14:paraId="07E5C6F8" w14:textId="77777777" w:rsidR="00C6717E" w:rsidRPr="00591BD8" w:rsidRDefault="00C6717E" w:rsidP="00C6717E">
      <w:pPr>
        <w:rPr>
          <w:szCs w:val="22"/>
        </w:rPr>
      </w:pPr>
      <w:r w:rsidRPr="00591BD8">
        <w:rPr>
          <w:szCs w:val="22"/>
        </w:rPr>
        <w:t>Na trhu nemusí být všechny velikosti balení.</w:t>
      </w:r>
    </w:p>
    <w:bookmarkEnd w:id="4"/>
    <w:p w14:paraId="150ED4CA" w14:textId="77777777" w:rsidR="00C6717E" w:rsidRPr="00591BD8" w:rsidRDefault="00C6717E" w:rsidP="00C6717E">
      <w:pPr>
        <w:ind w:left="0" w:right="-318" w:firstLine="0"/>
        <w:rPr>
          <w:szCs w:val="22"/>
        </w:rPr>
      </w:pPr>
    </w:p>
    <w:p w14:paraId="52068C04" w14:textId="77777777" w:rsidR="007459B9" w:rsidRPr="00B41D57" w:rsidRDefault="007459B9" w:rsidP="007459B9">
      <w:pPr>
        <w:pStyle w:val="Style1"/>
      </w:pPr>
      <w:r w:rsidRPr="00B41D57">
        <w:t>5.5</w:t>
      </w:r>
      <w:r w:rsidRPr="00B41D57">
        <w:tab/>
        <w:t>Zvláštní opatření pro likvidaci nepoužit</w:t>
      </w:r>
      <w:r>
        <w:t>ých</w:t>
      </w:r>
      <w:r w:rsidRPr="00B41D57">
        <w:t xml:space="preserve"> veterinární</w:t>
      </w:r>
      <w:r>
        <w:t>ch</w:t>
      </w:r>
      <w:r w:rsidRPr="00B41D57">
        <w:t xml:space="preserve"> léčiv</w:t>
      </w:r>
      <w:r>
        <w:t>ých</w:t>
      </w:r>
      <w:r w:rsidRPr="00B41D57">
        <w:t xml:space="preserve"> přípravk</w:t>
      </w:r>
      <w:r>
        <w:t>ů</w:t>
      </w:r>
      <w:r w:rsidRPr="00B41D57">
        <w:t xml:space="preserve"> nebo odpad</w:t>
      </w:r>
      <w:r>
        <w:t>ů</w:t>
      </w:r>
      <w:r w:rsidRPr="00B41D57">
        <w:t>, kter</w:t>
      </w:r>
      <w:r>
        <w:t>é</w:t>
      </w:r>
      <w:r w:rsidRPr="00B41D57">
        <w:t xml:space="preserve"> pochází z</w:t>
      </w:r>
      <w:r>
        <w:t> </w:t>
      </w:r>
      <w:r w:rsidRPr="00B41D57">
        <w:t>t</w:t>
      </w:r>
      <w:r>
        <w:t xml:space="preserve">ěchto </w:t>
      </w:r>
      <w:r w:rsidRPr="00B41D57">
        <w:t>přípravk</w:t>
      </w:r>
      <w:r>
        <w:t>ů</w:t>
      </w:r>
    </w:p>
    <w:p w14:paraId="02800D10" w14:textId="77777777" w:rsidR="00C6717E" w:rsidRPr="00591BD8" w:rsidRDefault="00C6717E" w:rsidP="00C6717E">
      <w:pPr>
        <w:ind w:left="0" w:right="-318" w:firstLine="0"/>
        <w:rPr>
          <w:szCs w:val="22"/>
        </w:rPr>
      </w:pPr>
    </w:p>
    <w:p w14:paraId="2DC35E9D" w14:textId="6D40F9FB" w:rsidR="00CE745E" w:rsidRPr="00B41D57" w:rsidRDefault="00CE745E" w:rsidP="00CE745E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B116DC6" w14:textId="77777777" w:rsidR="00CE745E" w:rsidRPr="00B41D57" w:rsidRDefault="00CE745E" w:rsidP="00CE745E">
      <w:pPr>
        <w:rPr>
          <w:szCs w:val="22"/>
        </w:rPr>
      </w:pPr>
    </w:p>
    <w:p w14:paraId="5975AE91" w14:textId="77777777" w:rsidR="00CE745E" w:rsidRDefault="00CE745E" w:rsidP="00C05ED1">
      <w:pPr>
        <w:ind w:left="0" w:firstLine="0"/>
      </w:pPr>
      <w:r w:rsidRPr="00B41D57">
        <w:t xml:space="preserve">Všechen nepoužitý veterinární léčivý přípravek nebo odpad, který pochází z tohoto přípravku, </w:t>
      </w:r>
    </w:p>
    <w:p w14:paraId="7CA13D8C" w14:textId="77777777" w:rsidR="00CE745E" w:rsidRDefault="00CE745E" w:rsidP="00CE745E">
      <w:r w:rsidRPr="00B41D57">
        <w:t xml:space="preserve">likvidujte odevzdáním v souladu s místními požadavky a národními systémy sběru, které jsou platné </w:t>
      </w:r>
    </w:p>
    <w:p w14:paraId="08A6EA0D" w14:textId="370602AB" w:rsidR="00CE745E" w:rsidRPr="00B41D57" w:rsidRDefault="00CE745E" w:rsidP="00CE745E">
      <w:pPr>
        <w:rPr>
          <w:szCs w:val="22"/>
        </w:rPr>
      </w:pPr>
      <w:r w:rsidRPr="00B41D57">
        <w:t>pro příslušný veterinární léčivý přípravek.</w:t>
      </w:r>
    </w:p>
    <w:p w14:paraId="5FD7B948" w14:textId="77777777" w:rsidR="00C6717E" w:rsidRPr="00591BD8" w:rsidRDefault="00C6717E" w:rsidP="00C6717E">
      <w:pPr>
        <w:ind w:left="0" w:right="-318" w:firstLine="0"/>
        <w:rPr>
          <w:szCs w:val="22"/>
        </w:rPr>
      </w:pPr>
    </w:p>
    <w:p w14:paraId="71EBDFA7" w14:textId="77777777" w:rsidR="00C6717E" w:rsidRPr="00591BD8" w:rsidRDefault="00C6717E" w:rsidP="00C6717E">
      <w:pPr>
        <w:ind w:left="0" w:right="-318" w:firstLine="0"/>
        <w:rPr>
          <w:szCs w:val="22"/>
        </w:rPr>
      </w:pPr>
    </w:p>
    <w:p w14:paraId="566D9A04" w14:textId="77777777" w:rsidR="007459B9" w:rsidRPr="00B41D57" w:rsidRDefault="007459B9" w:rsidP="007459B9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1281F3F" w14:textId="77777777" w:rsidR="00C6717E" w:rsidRPr="00591BD8" w:rsidRDefault="00C6717E" w:rsidP="00C6717E">
      <w:pPr>
        <w:rPr>
          <w:b/>
          <w:szCs w:val="22"/>
        </w:rPr>
      </w:pPr>
    </w:p>
    <w:p w14:paraId="4B4380C4" w14:textId="77777777" w:rsidR="00C6717E" w:rsidRPr="00591BD8" w:rsidRDefault="00C6717E" w:rsidP="00C6717E">
      <w:pPr>
        <w:rPr>
          <w:szCs w:val="22"/>
        </w:rPr>
      </w:pPr>
      <w:proofErr w:type="spellStart"/>
      <w:r w:rsidRPr="00591BD8">
        <w:rPr>
          <w:szCs w:val="22"/>
        </w:rPr>
        <w:t>Boehringer</w:t>
      </w:r>
      <w:proofErr w:type="spellEnd"/>
      <w:r w:rsidRPr="00591BD8">
        <w:rPr>
          <w:szCs w:val="22"/>
        </w:rPr>
        <w:t xml:space="preserve"> </w:t>
      </w:r>
      <w:proofErr w:type="spellStart"/>
      <w:r w:rsidRPr="00591BD8">
        <w:rPr>
          <w:szCs w:val="22"/>
        </w:rPr>
        <w:t>Ingelheim</w:t>
      </w:r>
      <w:proofErr w:type="spellEnd"/>
      <w:r w:rsidRPr="00591BD8">
        <w:rPr>
          <w:szCs w:val="22"/>
        </w:rPr>
        <w:t xml:space="preserve"> </w:t>
      </w:r>
      <w:proofErr w:type="spellStart"/>
      <w:r w:rsidRPr="00591BD8">
        <w:rPr>
          <w:szCs w:val="22"/>
        </w:rPr>
        <w:t>Vetmedica</w:t>
      </w:r>
      <w:proofErr w:type="spellEnd"/>
      <w:r w:rsidRPr="00591BD8">
        <w:rPr>
          <w:szCs w:val="22"/>
        </w:rPr>
        <w:t xml:space="preserve"> </w:t>
      </w:r>
      <w:proofErr w:type="spellStart"/>
      <w:r w:rsidRPr="00591BD8">
        <w:rPr>
          <w:szCs w:val="22"/>
        </w:rPr>
        <w:t>GmbH</w:t>
      </w:r>
      <w:proofErr w:type="spellEnd"/>
      <w:r w:rsidRPr="00591BD8">
        <w:rPr>
          <w:szCs w:val="22"/>
        </w:rPr>
        <w:t xml:space="preserve"> </w:t>
      </w:r>
    </w:p>
    <w:p w14:paraId="555CCBA2" w14:textId="77777777" w:rsidR="008D4C05" w:rsidRPr="00591BD8" w:rsidRDefault="008D4C05" w:rsidP="00C6717E">
      <w:pPr>
        <w:ind w:left="0" w:firstLine="0"/>
        <w:rPr>
          <w:szCs w:val="22"/>
        </w:rPr>
      </w:pPr>
    </w:p>
    <w:p w14:paraId="022E0B50" w14:textId="77777777" w:rsidR="00C6717E" w:rsidRPr="00591BD8" w:rsidRDefault="00C6717E" w:rsidP="00C6717E">
      <w:pPr>
        <w:ind w:right="-318"/>
        <w:rPr>
          <w:szCs w:val="22"/>
        </w:rPr>
      </w:pPr>
    </w:p>
    <w:p w14:paraId="502E1A2E" w14:textId="77777777" w:rsidR="007459B9" w:rsidRPr="00B41D57" w:rsidRDefault="007459B9" w:rsidP="007459B9">
      <w:pPr>
        <w:pStyle w:val="Style1"/>
      </w:pPr>
      <w:r w:rsidRPr="00B41D57">
        <w:t>7.</w:t>
      </w:r>
      <w:r w:rsidRPr="00B41D57">
        <w:tab/>
        <w:t>REGISTRAČNÍ ČÍSLO(A)</w:t>
      </w:r>
    </w:p>
    <w:p w14:paraId="01D0C585" w14:textId="77777777" w:rsidR="00C6717E" w:rsidRPr="00591BD8" w:rsidRDefault="00C6717E" w:rsidP="007459B9">
      <w:pPr>
        <w:ind w:left="0" w:right="-318" w:firstLine="0"/>
        <w:rPr>
          <w:b/>
          <w:caps/>
          <w:szCs w:val="22"/>
        </w:rPr>
      </w:pPr>
    </w:p>
    <w:p w14:paraId="55E01796" w14:textId="641F5E97" w:rsidR="00C6717E" w:rsidRPr="00591BD8" w:rsidRDefault="00C6717E" w:rsidP="00CE745E">
      <w:pPr>
        <w:ind w:left="0" w:right="-318" w:firstLine="0"/>
        <w:rPr>
          <w:b/>
          <w:caps/>
          <w:szCs w:val="22"/>
        </w:rPr>
      </w:pPr>
      <w:bookmarkStart w:id="5" w:name="_Hlk188428611"/>
      <w:r w:rsidRPr="00591BD8">
        <w:rPr>
          <w:szCs w:val="22"/>
        </w:rPr>
        <w:t>97/068/09-C</w:t>
      </w:r>
      <w:bookmarkEnd w:id="5"/>
    </w:p>
    <w:p w14:paraId="10F5AFEF" w14:textId="77777777" w:rsidR="00C6717E" w:rsidRPr="00591BD8" w:rsidRDefault="00C6717E" w:rsidP="00C6717E">
      <w:pPr>
        <w:ind w:right="-318"/>
        <w:rPr>
          <w:b/>
          <w:caps/>
          <w:szCs w:val="22"/>
        </w:rPr>
      </w:pPr>
    </w:p>
    <w:p w14:paraId="3CF17CAA" w14:textId="77777777" w:rsidR="007459B9" w:rsidRPr="00B41D57" w:rsidRDefault="007459B9" w:rsidP="007459B9">
      <w:pPr>
        <w:rPr>
          <w:szCs w:val="22"/>
        </w:rPr>
      </w:pPr>
    </w:p>
    <w:p w14:paraId="1748648B" w14:textId="77777777" w:rsidR="007459B9" w:rsidRPr="00B41D57" w:rsidRDefault="007459B9" w:rsidP="007459B9">
      <w:pPr>
        <w:pStyle w:val="Style1"/>
      </w:pPr>
      <w:r w:rsidRPr="00B41D57">
        <w:t>8.</w:t>
      </w:r>
      <w:r w:rsidRPr="00B41D57">
        <w:tab/>
        <w:t>DATUM PRVNÍ REGISTRACE</w:t>
      </w:r>
    </w:p>
    <w:p w14:paraId="74CB46BC" w14:textId="77777777" w:rsidR="00C6717E" w:rsidRPr="00591BD8" w:rsidRDefault="00C6717E" w:rsidP="00C6717E">
      <w:pPr>
        <w:ind w:right="-318"/>
        <w:rPr>
          <w:b/>
          <w:caps/>
          <w:szCs w:val="22"/>
        </w:rPr>
      </w:pPr>
    </w:p>
    <w:p w14:paraId="356591E2" w14:textId="70EAEE54" w:rsidR="004331BE" w:rsidRPr="00591BD8" w:rsidRDefault="004331BE" w:rsidP="00C6717E">
      <w:pPr>
        <w:ind w:right="-318"/>
        <w:rPr>
          <w:szCs w:val="22"/>
        </w:rPr>
      </w:pPr>
      <w:r w:rsidRPr="00591BD8">
        <w:rPr>
          <w:szCs w:val="22"/>
          <w:lang w:eastAsia="de-AT"/>
        </w:rPr>
        <w:t xml:space="preserve">Datum </w:t>
      </w:r>
      <w:r w:rsidR="00CE745E">
        <w:rPr>
          <w:szCs w:val="22"/>
          <w:lang w:eastAsia="de-AT"/>
        </w:rPr>
        <w:t xml:space="preserve">první </w:t>
      </w:r>
      <w:r w:rsidRPr="00591BD8">
        <w:rPr>
          <w:szCs w:val="22"/>
          <w:lang w:eastAsia="de-AT"/>
        </w:rPr>
        <w:t xml:space="preserve">registrace: </w:t>
      </w:r>
      <w:r w:rsidR="00C6717E" w:rsidRPr="00591BD8">
        <w:rPr>
          <w:szCs w:val="22"/>
        </w:rPr>
        <w:t>14</w:t>
      </w:r>
      <w:r w:rsidR="00CE745E">
        <w:rPr>
          <w:szCs w:val="22"/>
        </w:rPr>
        <w:t>/0</w:t>
      </w:r>
      <w:r w:rsidR="00C6717E" w:rsidRPr="00591BD8">
        <w:rPr>
          <w:szCs w:val="22"/>
        </w:rPr>
        <w:t>5</w:t>
      </w:r>
      <w:r w:rsidR="00CE745E">
        <w:rPr>
          <w:szCs w:val="22"/>
        </w:rPr>
        <w:t>/</w:t>
      </w:r>
      <w:r w:rsidR="00C6717E" w:rsidRPr="00591BD8">
        <w:rPr>
          <w:szCs w:val="22"/>
        </w:rPr>
        <w:t>2009</w:t>
      </w:r>
    </w:p>
    <w:p w14:paraId="0189C9F4" w14:textId="77777777" w:rsidR="00C6717E" w:rsidRPr="00591BD8" w:rsidRDefault="00C6717E" w:rsidP="00C6717E">
      <w:pPr>
        <w:ind w:right="-318"/>
        <w:rPr>
          <w:szCs w:val="22"/>
        </w:rPr>
      </w:pPr>
    </w:p>
    <w:p w14:paraId="1E1538C9" w14:textId="77777777" w:rsidR="00C6717E" w:rsidRPr="00591BD8" w:rsidRDefault="00C6717E" w:rsidP="00C6717E">
      <w:pPr>
        <w:ind w:right="-318"/>
        <w:rPr>
          <w:szCs w:val="22"/>
        </w:rPr>
      </w:pPr>
    </w:p>
    <w:p w14:paraId="1324E82A" w14:textId="77777777" w:rsidR="007459B9" w:rsidRDefault="007459B9" w:rsidP="007459B9">
      <w:pPr>
        <w:pStyle w:val="Style1"/>
      </w:pPr>
      <w:r>
        <w:t>9.</w:t>
      </w:r>
      <w:r>
        <w:tab/>
        <w:t>DATUM POSLEDNÍ AKTUALIZACE SOUHRNU ÚDAJŮ O PŘÍPRAVKU</w:t>
      </w:r>
    </w:p>
    <w:p w14:paraId="66F1FAC3" w14:textId="77777777" w:rsidR="00C6717E" w:rsidRPr="00591BD8" w:rsidRDefault="00C6717E" w:rsidP="00C6717E">
      <w:pPr>
        <w:ind w:left="0" w:right="-318" w:firstLine="0"/>
        <w:rPr>
          <w:szCs w:val="22"/>
        </w:rPr>
      </w:pPr>
    </w:p>
    <w:p w14:paraId="6C2E0921" w14:textId="6062CDB5" w:rsidR="009D11C7" w:rsidRDefault="00DD3E63" w:rsidP="00C6717E">
      <w:pPr>
        <w:ind w:left="0" w:right="-318" w:firstLine="0"/>
        <w:rPr>
          <w:szCs w:val="22"/>
        </w:rPr>
      </w:pPr>
      <w:r>
        <w:rPr>
          <w:szCs w:val="22"/>
        </w:rPr>
        <w:t>07/2025</w:t>
      </w:r>
    </w:p>
    <w:p w14:paraId="6AE16FDF" w14:textId="77777777" w:rsidR="00CE745E" w:rsidRPr="00591BD8" w:rsidRDefault="00CE745E" w:rsidP="00C6717E">
      <w:pPr>
        <w:ind w:left="0" w:right="-318" w:firstLine="0"/>
        <w:rPr>
          <w:szCs w:val="22"/>
        </w:rPr>
      </w:pPr>
    </w:p>
    <w:p w14:paraId="3D2129EE" w14:textId="77777777" w:rsidR="009D11C7" w:rsidRPr="00591BD8" w:rsidRDefault="009D11C7" w:rsidP="00C6717E">
      <w:pPr>
        <w:ind w:left="0" w:right="-318" w:firstLine="0"/>
        <w:rPr>
          <w:szCs w:val="22"/>
        </w:rPr>
      </w:pPr>
    </w:p>
    <w:p w14:paraId="76D0CBF4" w14:textId="77777777" w:rsidR="007459B9" w:rsidRDefault="007459B9" w:rsidP="007459B9">
      <w:pPr>
        <w:pStyle w:val="Style1"/>
      </w:pPr>
      <w:r>
        <w:t>10.</w:t>
      </w:r>
      <w:r>
        <w:tab/>
        <w:t>KLASIFIKACE VETERINÁRNÍCH LÉČIVÝCH PŘÍPRAVKŮ</w:t>
      </w:r>
    </w:p>
    <w:p w14:paraId="3C525B84" w14:textId="77777777" w:rsidR="00C6717E" w:rsidRPr="00591BD8" w:rsidRDefault="00C6717E" w:rsidP="00C6717E">
      <w:pPr>
        <w:ind w:left="0" w:right="-318" w:firstLine="0"/>
        <w:rPr>
          <w:b/>
          <w:szCs w:val="22"/>
        </w:rPr>
      </w:pPr>
    </w:p>
    <w:p w14:paraId="142930EA" w14:textId="1EFF69AF" w:rsidR="00CE745E" w:rsidRPr="00794D5A" w:rsidRDefault="00C6717E" w:rsidP="001F6709">
      <w:pPr>
        <w:ind w:left="0" w:firstLine="0"/>
        <w:rPr>
          <w:szCs w:val="22"/>
          <w:lang w:eastAsia="cs-CZ"/>
        </w:rPr>
      </w:pPr>
      <w:bookmarkStart w:id="6" w:name="_Hlk188428588"/>
      <w:r w:rsidRPr="00794D5A">
        <w:rPr>
          <w:szCs w:val="22"/>
          <w:lang w:eastAsia="cs-CZ"/>
        </w:rPr>
        <w:t>Veterinární léčivý přípravek je vydáván pouze na předpis.</w:t>
      </w:r>
      <w:bookmarkEnd w:id="6"/>
    </w:p>
    <w:p w14:paraId="1A351692" w14:textId="77777777" w:rsidR="00205583" w:rsidRPr="00205583" w:rsidRDefault="00205583" w:rsidP="00591BD8">
      <w:pPr>
        <w:ind w:left="0" w:firstLine="0"/>
        <w:jc w:val="both"/>
        <w:rPr>
          <w:sz w:val="24"/>
          <w:szCs w:val="24"/>
          <w:lang w:eastAsia="cs-CZ"/>
        </w:rPr>
      </w:pPr>
    </w:p>
    <w:p w14:paraId="1038D07F" w14:textId="77777777" w:rsidR="00CE745E" w:rsidRDefault="00CE745E" w:rsidP="00CE745E">
      <w:pPr>
        <w:ind w:right="-1"/>
      </w:pPr>
      <w:bookmarkStart w:id="7" w:name="_Hlk73467306"/>
      <w:bookmarkStart w:id="8" w:name="_Hlk188428882"/>
      <w:r w:rsidRPr="00B41D57">
        <w:t xml:space="preserve">Podrobné informace o tomto veterinárním léčivém přípravku jsou k dispozici v databázi přípravků </w:t>
      </w:r>
    </w:p>
    <w:p w14:paraId="51AC29B2" w14:textId="0D019188" w:rsidR="00CE745E" w:rsidRPr="00B41D57" w:rsidRDefault="00CE745E" w:rsidP="00CE745E">
      <w:pPr>
        <w:ind w:right="-1"/>
        <w:rPr>
          <w:szCs w:val="22"/>
        </w:rPr>
      </w:pPr>
      <w:r w:rsidRPr="00B41D57">
        <w:t>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37E14CDC" w14:textId="77777777" w:rsidR="00CE745E" w:rsidRDefault="00CE745E" w:rsidP="00591BD8">
      <w:pPr>
        <w:ind w:left="0" w:firstLine="0"/>
        <w:jc w:val="both"/>
        <w:rPr>
          <w:b/>
        </w:rPr>
      </w:pPr>
    </w:p>
    <w:p w14:paraId="27DD15BC" w14:textId="77777777" w:rsidR="006E5304" w:rsidRDefault="006E5304" w:rsidP="006E5304">
      <w:pPr>
        <w:ind w:right="-318"/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</w:p>
    <w:p w14:paraId="3260108B" w14:textId="06BD511A" w:rsidR="006E5304" w:rsidRPr="00B41D57" w:rsidRDefault="006E5304" w:rsidP="006E5304">
      <w:pPr>
        <w:ind w:right="-318"/>
        <w:rPr>
          <w:szCs w:val="22"/>
        </w:rPr>
      </w:pPr>
      <w:r>
        <w:rPr>
          <w:szCs w:val="22"/>
        </w:rPr>
        <w:t>(</w:t>
      </w:r>
      <w:hyperlink r:id="rId12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8"/>
    <w:p w14:paraId="16CAACA6" w14:textId="77777777" w:rsidR="006E5304" w:rsidRPr="00591BD8" w:rsidRDefault="006E5304" w:rsidP="00591BD8">
      <w:pPr>
        <w:ind w:left="0" w:firstLine="0"/>
        <w:jc w:val="both"/>
        <w:rPr>
          <w:b/>
        </w:rPr>
      </w:pPr>
    </w:p>
    <w:sectPr w:rsidR="006E5304" w:rsidRPr="00591BD8" w:rsidSect="00591BD8"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DED97" w14:textId="77777777" w:rsidR="004D4389" w:rsidRDefault="004D4389">
      <w:r>
        <w:separator/>
      </w:r>
    </w:p>
  </w:endnote>
  <w:endnote w:type="continuationSeparator" w:id="0">
    <w:p w14:paraId="54E05012" w14:textId="77777777" w:rsidR="004D4389" w:rsidRDefault="004D4389">
      <w:r>
        <w:continuationSeparator/>
      </w:r>
    </w:p>
  </w:endnote>
  <w:endnote w:type="continuationNotice" w:id="1">
    <w:p w14:paraId="2D2B2D40" w14:textId="77777777" w:rsidR="004D4389" w:rsidRDefault="004D4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09648" w14:textId="77777777" w:rsidR="003A3F86" w:rsidRDefault="003A3F86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FC1F111" w14:textId="77777777" w:rsidR="003A3F86" w:rsidRDefault="003A3F8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8F7FA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F667C" w14:textId="77777777" w:rsidR="003A3F86" w:rsidRDefault="003A3F86">
    <w:pPr>
      <w:pStyle w:val="Zpat"/>
      <w:tabs>
        <w:tab w:val="clear" w:pos="8930"/>
        <w:tab w:val="right" w:pos="8931"/>
      </w:tabs>
    </w:pPr>
  </w:p>
  <w:p w14:paraId="4F0B892C" w14:textId="77777777" w:rsidR="003A3F86" w:rsidRDefault="003A3F8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8F7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E7FD0" w14:textId="77777777" w:rsidR="004D4389" w:rsidRDefault="004D4389">
      <w:r>
        <w:separator/>
      </w:r>
    </w:p>
  </w:footnote>
  <w:footnote w:type="continuationSeparator" w:id="0">
    <w:p w14:paraId="3C6D36D1" w14:textId="77777777" w:rsidR="004D4389" w:rsidRDefault="004D4389">
      <w:r>
        <w:continuationSeparator/>
      </w:r>
    </w:p>
  </w:footnote>
  <w:footnote w:type="continuationNotice" w:id="1">
    <w:p w14:paraId="629D33BF" w14:textId="77777777" w:rsidR="004D4389" w:rsidRDefault="004D43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B7345D4"/>
    <w:multiLevelType w:val="hybridMultilevel"/>
    <w:tmpl w:val="3398AE2C"/>
    <w:lvl w:ilvl="0" w:tplc="6CBE2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A7B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A82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D68BA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44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61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86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CD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00B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C7409FF"/>
    <w:multiLevelType w:val="hybridMultilevel"/>
    <w:tmpl w:val="15887A94"/>
    <w:lvl w:ilvl="0" w:tplc="1CE291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1034B"/>
    <w:multiLevelType w:val="hybridMultilevel"/>
    <w:tmpl w:val="A9768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AF438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2B7D14"/>
    <w:multiLevelType w:val="hybridMultilevel"/>
    <w:tmpl w:val="451C9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8"/>
  </w:num>
  <w:num w:numId="5">
    <w:abstractNumId w:val="37"/>
  </w:num>
  <w:num w:numId="6">
    <w:abstractNumId w:val="14"/>
  </w:num>
  <w:num w:numId="7">
    <w:abstractNumId w:val="25"/>
  </w:num>
  <w:num w:numId="8">
    <w:abstractNumId w:val="24"/>
  </w:num>
  <w:num w:numId="9">
    <w:abstractNumId w:val="7"/>
  </w:num>
  <w:num w:numId="10">
    <w:abstractNumId w:val="35"/>
  </w:num>
  <w:num w:numId="11">
    <w:abstractNumId w:val="36"/>
  </w:num>
  <w:num w:numId="12">
    <w:abstractNumId w:val="19"/>
  </w:num>
  <w:num w:numId="13">
    <w:abstractNumId w:val="16"/>
  </w:num>
  <w:num w:numId="14">
    <w:abstractNumId w:val="2"/>
  </w:num>
  <w:num w:numId="15">
    <w:abstractNumId w:val="34"/>
  </w:num>
  <w:num w:numId="16">
    <w:abstractNumId w:val="22"/>
  </w:num>
  <w:num w:numId="17">
    <w:abstractNumId w:val="39"/>
  </w:num>
  <w:num w:numId="18">
    <w:abstractNumId w:val="8"/>
  </w:num>
  <w:num w:numId="19">
    <w:abstractNumId w:val="1"/>
  </w:num>
  <w:num w:numId="20">
    <w:abstractNumId w:val="20"/>
  </w:num>
  <w:num w:numId="21">
    <w:abstractNumId w:val="3"/>
  </w:num>
  <w:num w:numId="22">
    <w:abstractNumId w:val="5"/>
  </w:num>
  <w:num w:numId="23">
    <w:abstractNumId w:val="28"/>
  </w:num>
  <w:num w:numId="24">
    <w:abstractNumId w:val="11"/>
  </w:num>
  <w:num w:numId="25">
    <w:abstractNumId w:val="33"/>
  </w:num>
  <w:num w:numId="26">
    <w:abstractNumId w:val="27"/>
  </w:num>
  <w:num w:numId="27">
    <w:abstractNumId w:val="15"/>
  </w:num>
  <w:num w:numId="28">
    <w:abstractNumId w:val="10"/>
  </w:num>
  <w:num w:numId="29">
    <w:abstractNumId w:val="23"/>
  </w:num>
  <w:num w:numId="30">
    <w:abstractNumId w:val="26"/>
  </w:num>
  <w:num w:numId="31">
    <w:abstractNumId w:val="17"/>
  </w:num>
  <w:num w:numId="32">
    <w:abstractNumId w:val="9"/>
  </w:num>
  <w:num w:numId="33">
    <w:abstractNumId w:val="31"/>
  </w:num>
  <w:num w:numId="34">
    <w:abstractNumId w:val="32"/>
  </w:num>
  <w:num w:numId="35">
    <w:abstractNumId w:val="30"/>
  </w:num>
  <w:num w:numId="36">
    <w:abstractNumId w:val="18"/>
  </w:num>
  <w:num w:numId="37">
    <w:abstractNumId w:val="4"/>
  </w:num>
  <w:num w:numId="38">
    <w:abstractNumId w:val="40"/>
  </w:num>
  <w:num w:numId="3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3"/>
  </w:num>
  <w:num w:numId="43">
    <w:abstractNumId w:val="12"/>
  </w:num>
  <w:num w:numId="44">
    <w:abstractNumId w:val="2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270EA"/>
    <w:rsid w:val="00001B42"/>
    <w:rsid w:val="00002C76"/>
    <w:rsid w:val="00020DF7"/>
    <w:rsid w:val="00024EC8"/>
    <w:rsid w:val="00027EC9"/>
    <w:rsid w:val="000318BD"/>
    <w:rsid w:val="00037D95"/>
    <w:rsid w:val="000435BC"/>
    <w:rsid w:val="0004397D"/>
    <w:rsid w:val="00045679"/>
    <w:rsid w:val="00046116"/>
    <w:rsid w:val="00047A3D"/>
    <w:rsid w:val="000570F5"/>
    <w:rsid w:val="00064C2E"/>
    <w:rsid w:val="00064C81"/>
    <w:rsid w:val="00070D94"/>
    <w:rsid w:val="00077128"/>
    <w:rsid w:val="00095445"/>
    <w:rsid w:val="000A5074"/>
    <w:rsid w:val="000B3BC7"/>
    <w:rsid w:val="000C611E"/>
    <w:rsid w:val="000E448F"/>
    <w:rsid w:val="000E49D5"/>
    <w:rsid w:val="00102E3E"/>
    <w:rsid w:val="00104FA5"/>
    <w:rsid w:val="00110AED"/>
    <w:rsid w:val="00113CDA"/>
    <w:rsid w:val="00117096"/>
    <w:rsid w:val="0012258D"/>
    <w:rsid w:val="00123DFA"/>
    <w:rsid w:val="00132B54"/>
    <w:rsid w:val="0013688E"/>
    <w:rsid w:val="0014262A"/>
    <w:rsid w:val="00154887"/>
    <w:rsid w:val="00163DD8"/>
    <w:rsid w:val="00165EE1"/>
    <w:rsid w:val="00170636"/>
    <w:rsid w:val="0017352D"/>
    <w:rsid w:val="00184135"/>
    <w:rsid w:val="0019025C"/>
    <w:rsid w:val="001A7735"/>
    <w:rsid w:val="001B1F7F"/>
    <w:rsid w:val="001C1738"/>
    <w:rsid w:val="001C28CC"/>
    <w:rsid w:val="001C4D91"/>
    <w:rsid w:val="001C7320"/>
    <w:rsid w:val="001D37AA"/>
    <w:rsid w:val="001E21D3"/>
    <w:rsid w:val="001E3566"/>
    <w:rsid w:val="001E371D"/>
    <w:rsid w:val="001E74CC"/>
    <w:rsid w:val="001F6709"/>
    <w:rsid w:val="001F695F"/>
    <w:rsid w:val="00205583"/>
    <w:rsid w:val="0020636B"/>
    <w:rsid w:val="0021375A"/>
    <w:rsid w:val="0021504A"/>
    <w:rsid w:val="00223258"/>
    <w:rsid w:val="00235E27"/>
    <w:rsid w:val="00251997"/>
    <w:rsid w:val="00273370"/>
    <w:rsid w:val="002808D6"/>
    <w:rsid w:val="002845D0"/>
    <w:rsid w:val="002866A8"/>
    <w:rsid w:val="0029295E"/>
    <w:rsid w:val="00294969"/>
    <w:rsid w:val="00294E88"/>
    <w:rsid w:val="0029554B"/>
    <w:rsid w:val="002A362D"/>
    <w:rsid w:val="002A5AEA"/>
    <w:rsid w:val="002B5F81"/>
    <w:rsid w:val="002C0EF0"/>
    <w:rsid w:val="002C7396"/>
    <w:rsid w:val="002D0489"/>
    <w:rsid w:val="002D120B"/>
    <w:rsid w:val="002D47F9"/>
    <w:rsid w:val="002E18A2"/>
    <w:rsid w:val="002F00A7"/>
    <w:rsid w:val="003008C9"/>
    <w:rsid w:val="003028DF"/>
    <w:rsid w:val="003175CD"/>
    <w:rsid w:val="00336B87"/>
    <w:rsid w:val="0034313C"/>
    <w:rsid w:val="0034508C"/>
    <w:rsid w:val="0035297D"/>
    <w:rsid w:val="00352C7A"/>
    <w:rsid w:val="00360B8F"/>
    <w:rsid w:val="00373CBE"/>
    <w:rsid w:val="00376AA2"/>
    <w:rsid w:val="00377499"/>
    <w:rsid w:val="00377AC8"/>
    <w:rsid w:val="00386B44"/>
    <w:rsid w:val="003A3F86"/>
    <w:rsid w:val="003B0186"/>
    <w:rsid w:val="003C2156"/>
    <w:rsid w:val="003E06A4"/>
    <w:rsid w:val="003E2C41"/>
    <w:rsid w:val="003F51C4"/>
    <w:rsid w:val="00417A46"/>
    <w:rsid w:val="00427A56"/>
    <w:rsid w:val="00430A9E"/>
    <w:rsid w:val="004331BE"/>
    <w:rsid w:val="00443DF3"/>
    <w:rsid w:val="004452BB"/>
    <w:rsid w:val="00445A82"/>
    <w:rsid w:val="00450BF7"/>
    <w:rsid w:val="00456D73"/>
    <w:rsid w:val="004612E5"/>
    <w:rsid w:val="00495C0C"/>
    <w:rsid w:val="004A27F8"/>
    <w:rsid w:val="004A28DE"/>
    <w:rsid w:val="004A5078"/>
    <w:rsid w:val="004B136C"/>
    <w:rsid w:val="004B4C2C"/>
    <w:rsid w:val="004C36D3"/>
    <w:rsid w:val="004C674D"/>
    <w:rsid w:val="004D0392"/>
    <w:rsid w:val="004D35B6"/>
    <w:rsid w:val="004D3B25"/>
    <w:rsid w:val="004D41D8"/>
    <w:rsid w:val="004D4389"/>
    <w:rsid w:val="004E3284"/>
    <w:rsid w:val="004E68F1"/>
    <w:rsid w:val="004F3C17"/>
    <w:rsid w:val="00501193"/>
    <w:rsid w:val="00501BA0"/>
    <w:rsid w:val="005051B8"/>
    <w:rsid w:val="005077B2"/>
    <w:rsid w:val="00547538"/>
    <w:rsid w:val="00550045"/>
    <w:rsid w:val="005636F6"/>
    <w:rsid w:val="00563DD0"/>
    <w:rsid w:val="005705B0"/>
    <w:rsid w:val="00591785"/>
    <w:rsid w:val="00591BD8"/>
    <w:rsid w:val="005A3719"/>
    <w:rsid w:val="005A5002"/>
    <w:rsid w:val="005A66A0"/>
    <w:rsid w:val="005B45E8"/>
    <w:rsid w:val="005B576E"/>
    <w:rsid w:val="005B746F"/>
    <w:rsid w:val="005B769C"/>
    <w:rsid w:val="005C2440"/>
    <w:rsid w:val="005E47A0"/>
    <w:rsid w:val="005F1B1B"/>
    <w:rsid w:val="005F1BB4"/>
    <w:rsid w:val="005F70D8"/>
    <w:rsid w:val="00601407"/>
    <w:rsid w:val="00603058"/>
    <w:rsid w:val="00604522"/>
    <w:rsid w:val="0061208D"/>
    <w:rsid w:val="006126FE"/>
    <w:rsid w:val="00613B46"/>
    <w:rsid w:val="006276A8"/>
    <w:rsid w:val="00643395"/>
    <w:rsid w:val="00655EC0"/>
    <w:rsid w:val="00664808"/>
    <w:rsid w:val="00673140"/>
    <w:rsid w:val="00684ED3"/>
    <w:rsid w:val="00685EFF"/>
    <w:rsid w:val="00687FB2"/>
    <w:rsid w:val="006A252A"/>
    <w:rsid w:val="006A2658"/>
    <w:rsid w:val="006B4D5D"/>
    <w:rsid w:val="006D1E3F"/>
    <w:rsid w:val="006D5077"/>
    <w:rsid w:val="006E5304"/>
    <w:rsid w:val="007033C7"/>
    <w:rsid w:val="0070586D"/>
    <w:rsid w:val="007237C0"/>
    <w:rsid w:val="007249DB"/>
    <w:rsid w:val="007270EA"/>
    <w:rsid w:val="007459B9"/>
    <w:rsid w:val="007620A8"/>
    <w:rsid w:val="00764BFF"/>
    <w:rsid w:val="00772428"/>
    <w:rsid w:val="00781961"/>
    <w:rsid w:val="00783B0D"/>
    <w:rsid w:val="00792623"/>
    <w:rsid w:val="00792EBE"/>
    <w:rsid w:val="00794D5A"/>
    <w:rsid w:val="007A4980"/>
    <w:rsid w:val="007B6EEE"/>
    <w:rsid w:val="007C29D1"/>
    <w:rsid w:val="007D2C93"/>
    <w:rsid w:val="007D53D4"/>
    <w:rsid w:val="007E3A4A"/>
    <w:rsid w:val="007E47B4"/>
    <w:rsid w:val="007E7CCB"/>
    <w:rsid w:val="007F040F"/>
    <w:rsid w:val="00814132"/>
    <w:rsid w:val="00836FAC"/>
    <w:rsid w:val="00840420"/>
    <w:rsid w:val="00841B00"/>
    <w:rsid w:val="00847A38"/>
    <w:rsid w:val="00855B62"/>
    <w:rsid w:val="00855DAD"/>
    <w:rsid w:val="0086515C"/>
    <w:rsid w:val="00865683"/>
    <w:rsid w:val="00871659"/>
    <w:rsid w:val="00894719"/>
    <w:rsid w:val="008B0CF1"/>
    <w:rsid w:val="008B57A7"/>
    <w:rsid w:val="008B6D44"/>
    <w:rsid w:val="008C0192"/>
    <w:rsid w:val="008C704D"/>
    <w:rsid w:val="008D0F3F"/>
    <w:rsid w:val="008D2915"/>
    <w:rsid w:val="008D3852"/>
    <w:rsid w:val="008D4C05"/>
    <w:rsid w:val="008E130C"/>
    <w:rsid w:val="008F7FA8"/>
    <w:rsid w:val="00911D1A"/>
    <w:rsid w:val="0091544B"/>
    <w:rsid w:val="009174EF"/>
    <w:rsid w:val="0092102D"/>
    <w:rsid w:val="00927798"/>
    <w:rsid w:val="00934FE1"/>
    <w:rsid w:val="00941455"/>
    <w:rsid w:val="0095778E"/>
    <w:rsid w:val="0096292A"/>
    <w:rsid w:val="00964508"/>
    <w:rsid w:val="009676D0"/>
    <w:rsid w:val="009758F8"/>
    <w:rsid w:val="00977FAF"/>
    <w:rsid w:val="00981EB6"/>
    <w:rsid w:val="00983DEF"/>
    <w:rsid w:val="00993D12"/>
    <w:rsid w:val="00996604"/>
    <w:rsid w:val="009B4C26"/>
    <w:rsid w:val="009B6A05"/>
    <w:rsid w:val="009B7AF5"/>
    <w:rsid w:val="009C7D82"/>
    <w:rsid w:val="009D11C7"/>
    <w:rsid w:val="009D5516"/>
    <w:rsid w:val="009E125D"/>
    <w:rsid w:val="009E1B16"/>
    <w:rsid w:val="009E7A3F"/>
    <w:rsid w:val="009F1E1A"/>
    <w:rsid w:val="009F5B38"/>
    <w:rsid w:val="00A03214"/>
    <w:rsid w:val="00A03685"/>
    <w:rsid w:val="00A21F1D"/>
    <w:rsid w:val="00A33B79"/>
    <w:rsid w:val="00A373FA"/>
    <w:rsid w:val="00A82090"/>
    <w:rsid w:val="00A93FA8"/>
    <w:rsid w:val="00AA329D"/>
    <w:rsid w:val="00AA6F04"/>
    <w:rsid w:val="00AD218B"/>
    <w:rsid w:val="00AE44F1"/>
    <w:rsid w:val="00B00E0B"/>
    <w:rsid w:val="00B02421"/>
    <w:rsid w:val="00B20844"/>
    <w:rsid w:val="00B26591"/>
    <w:rsid w:val="00B267F5"/>
    <w:rsid w:val="00B52F3D"/>
    <w:rsid w:val="00B61168"/>
    <w:rsid w:val="00B63401"/>
    <w:rsid w:val="00B64A74"/>
    <w:rsid w:val="00B73263"/>
    <w:rsid w:val="00B801C3"/>
    <w:rsid w:val="00B86000"/>
    <w:rsid w:val="00B862F7"/>
    <w:rsid w:val="00B906D7"/>
    <w:rsid w:val="00B978CD"/>
    <w:rsid w:val="00BA5CAD"/>
    <w:rsid w:val="00BA79F8"/>
    <w:rsid w:val="00BA7D56"/>
    <w:rsid w:val="00BC36B8"/>
    <w:rsid w:val="00BC4140"/>
    <w:rsid w:val="00BE7C84"/>
    <w:rsid w:val="00BF2732"/>
    <w:rsid w:val="00BF2B6D"/>
    <w:rsid w:val="00BF7152"/>
    <w:rsid w:val="00C00716"/>
    <w:rsid w:val="00C04AFD"/>
    <w:rsid w:val="00C05ED1"/>
    <w:rsid w:val="00C108BA"/>
    <w:rsid w:val="00C16B90"/>
    <w:rsid w:val="00C21209"/>
    <w:rsid w:val="00C306F6"/>
    <w:rsid w:val="00C320FB"/>
    <w:rsid w:val="00C32D89"/>
    <w:rsid w:val="00C43DD4"/>
    <w:rsid w:val="00C6128D"/>
    <w:rsid w:val="00C614E4"/>
    <w:rsid w:val="00C6717E"/>
    <w:rsid w:val="00C80139"/>
    <w:rsid w:val="00C849C0"/>
    <w:rsid w:val="00CB13D7"/>
    <w:rsid w:val="00CB28AD"/>
    <w:rsid w:val="00CC47D3"/>
    <w:rsid w:val="00CC6871"/>
    <w:rsid w:val="00CD214D"/>
    <w:rsid w:val="00CE044D"/>
    <w:rsid w:val="00CE745E"/>
    <w:rsid w:val="00CF4BD0"/>
    <w:rsid w:val="00D06ED0"/>
    <w:rsid w:val="00D17ACB"/>
    <w:rsid w:val="00D20E9F"/>
    <w:rsid w:val="00D27167"/>
    <w:rsid w:val="00D27246"/>
    <w:rsid w:val="00D342FA"/>
    <w:rsid w:val="00D52DED"/>
    <w:rsid w:val="00D61E91"/>
    <w:rsid w:val="00D73755"/>
    <w:rsid w:val="00D80EF6"/>
    <w:rsid w:val="00D85EDA"/>
    <w:rsid w:val="00D86D69"/>
    <w:rsid w:val="00D91A1A"/>
    <w:rsid w:val="00D94A26"/>
    <w:rsid w:val="00DA2B7E"/>
    <w:rsid w:val="00DA3758"/>
    <w:rsid w:val="00DA3FFC"/>
    <w:rsid w:val="00DC06B3"/>
    <w:rsid w:val="00DC09CB"/>
    <w:rsid w:val="00DC1CBA"/>
    <w:rsid w:val="00DC53F7"/>
    <w:rsid w:val="00DD3E63"/>
    <w:rsid w:val="00DD6FA7"/>
    <w:rsid w:val="00DF4776"/>
    <w:rsid w:val="00E00373"/>
    <w:rsid w:val="00E043F7"/>
    <w:rsid w:val="00E22330"/>
    <w:rsid w:val="00E30837"/>
    <w:rsid w:val="00E31DE3"/>
    <w:rsid w:val="00E35030"/>
    <w:rsid w:val="00E408D6"/>
    <w:rsid w:val="00E537FC"/>
    <w:rsid w:val="00E771D5"/>
    <w:rsid w:val="00E83A8F"/>
    <w:rsid w:val="00E90041"/>
    <w:rsid w:val="00E94158"/>
    <w:rsid w:val="00EA332B"/>
    <w:rsid w:val="00EA4045"/>
    <w:rsid w:val="00EB0092"/>
    <w:rsid w:val="00EB1E01"/>
    <w:rsid w:val="00EB2DC2"/>
    <w:rsid w:val="00EB53CB"/>
    <w:rsid w:val="00EC143B"/>
    <w:rsid w:val="00ED42B1"/>
    <w:rsid w:val="00EE0635"/>
    <w:rsid w:val="00EE3A64"/>
    <w:rsid w:val="00EE7AB0"/>
    <w:rsid w:val="00F143B1"/>
    <w:rsid w:val="00F368E0"/>
    <w:rsid w:val="00F62D40"/>
    <w:rsid w:val="00F638D9"/>
    <w:rsid w:val="00F85F07"/>
    <w:rsid w:val="00F96C96"/>
    <w:rsid w:val="00FA5DFE"/>
    <w:rsid w:val="00FA5FF1"/>
    <w:rsid w:val="00FB26A8"/>
    <w:rsid w:val="00FC2511"/>
    <w:rsid w:val="00FC64E4"/>
    <w:rsid w:val="00FD150F"/>
    <w:rsid w:val="00FD17ED"/>
    <w:rsid w:val="00FD59A3"/>
    <w:rsid w:val="00FE23EF"/>
    <w:rsid w:val="00FE2EC5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DE9189"/>
  <w15:chartTrackingRefBased/>
  <w15:docId w15:val="{1CF1BC3C-D645-432E-A724-4E7AC305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D1E3F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A33B7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459B9"/>
    <w:pPr>
      <w:ind w:left="720"/>
      <w:contextualSpacing/>
    </w:pPr>
  </w:style>
  <w:style w:type="paragraph" w:customStyle="1" w:styleId="Style1">
    <w:name w:val="Style1"/>
    <w:basedOn w:val="Normln"/>
    <w:qFormat/>
    <w:rsid w:val="007459B9"/>
    <w:pPr>
      <w:tabs>
        <w:tab w:val="left" w:pos="0"/>
      </w:tabs>
    </w:pPr>
    <w:rPr>
      <w:b/>
      <w:szCs w:val="22"/>
    </w:rPr>
  </w:style>
  <w:style w:type="paragraph" w:styleId="Revize">
    <w:name w:val="Revision"/>
    <w:hidden/>
    <w:uiPriority w:val="99"/>
    <w:semiHidden/>
    <w:rsid w:val="007459B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F855F-EEB8-4C23-BE86-CFDFFEFF0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21B0A-B252-472D-B15D-41731D4528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7C6B38-6B20-4769-B6F3-73E3AD862BC1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4.xml><?xml version="1.0" encoding="utf-8"?>
<ds:datastoreItem xmlns:ds="http://schemas.openxmlformats.org/officeDocument/2006/customXml" ds:itemID="{12E3B8B3-6C4E-4A1C-9539-116A5E265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1257</Words>
  <Characters>7418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Ingelvac MycoFLEX</vt:lpstr>
      <vt:lpstr>Ingelvac MycoFLEX</vt:lpstr>
    </vt:vector>
  </TitlesOfParts>
  <Company>Translation Centre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Ingelvac MycoFLEX</dc:title>
  <dc:subject>General-EMEA/265127/2005</dc:subject>
  <dc:creator>Morávková Věra</dc:creator>
  <cp:keywords/>
  <cp:lastModifiedBy>Malanová Zdeňka</cp:lastModifiedBy>
  <cp:revision>6</cp:revision>
  <cp:lastPrinted>2025-06-30T10:44:00Z</cp:lastPrinted>
  <dcterms:created xsi:type="dcterms:W3CDTF">2025-06-11T12:56:00Z</dcterms:created>
  <dcterms:modified xsi:type="dcterms:W3CDTF">2025-06-30T10:44:00Z</dcterms:modified>
  <cp:contentStatus>national approval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General-EMEA/265127/2005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</vt:lpwstr>
  </property>
  <property fmtid="{D5CDD505-2E9C-101B-9397-08002B2CF9AE}" pid="9" name="DM_Owner">
    <vt:lpwstr>Prizzi Monica</vt:lpwstr>
  </property>
  <property fmtid="{D5CDD505-2E9C-101B-9397-08002B2CF9AE}" pid="10" name="DM_Creation_Date">
    <vt:lpwstr>16/08/2005 10:36:32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16/08/2005 10:36:32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EMEA/265127/2005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265127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Product name">
    <vt:lpwstr>Ingelvac MycoFLEX</vt:lpwstr>
  </property>
  <property fmtid="{D5CDD505-2E9C-101B-9397-08002B2CF9AE}" pid="33" name="Product number">
    <vt:lpwstr>v0203</vt:lpwstr>
  </property>
  <property fmtid="{D5CDD505-2E9C-101B-9397-08002B2CF9AE}" pid="34" name="Marketing authorization number">
    <vt:lpwstr>FR/V/0203/001</vt:lpwstr>
  </property>
  <property fmtid="{D5CDD505-2E9C-101B-9397-08002B2CF9AE}" pid="35" name="Active substance">
    <vt:lpwstr>Inactivated M. hyopneumoniae, J Strain Isolate B-3745</vt:lpwstr>
  </property>
  <property fmtid="{D5CDD505-2E9C-101B-9397-08002B2CF9AE}" pid="36" name="Procedure number">
    <vt:lpwstr>035-EMEA/V/C/000126/WS1920/0035/G</vt:lpwstr>
  </property>
  <property fmtid="{D5CDD505-2E9C-101B-9397-08002B2CF9AE}" pid="37" name="Country">
    <vt:lpwstr>Czech Republik</vt:lpwstr>
  </property>
  <property fmtid="{D5CDD505-2E9C-101B-9397-08002B2CF9AE}" pid="38" name="Document type">
    <vt:lpwstr>SPC</vt:lpwstr>
  </property>
  <property fmtid="{D5CDD505-2E9C-101B-9397-08002B2CF9AE}" pid="39" name="Mode">
    <vt:lpwstr>clean</vt:lpwstr>
  </property>
  <property fmtid="{D5CDD505-2E9C-101B-9397-08002B2CF9AE}" pid="40" name="Last approved">
    <vt:lpwstr>last approved</vt:lpwstr>
  </property>
  <property fmtid="{D5CDD505-2E9C-101B-9397-08002B2CF9AE}" pid="41" name="Approval date">
    <vt:lpwstr>28/04/2021</vt:lpwstr>
  </property>
  <property fmtid="{D5CDD505-2E9C-101B-9397-08002B2CF9AE}" pid="42" name="Multiline">
    <vt:lpwstr>WS1920-G (TwistPak) with CircoFLEX: CVMP opinion (16/04/021)</vt:lpwstr>
  </property>
  <property fmtid="{D5CDD505-2E9C-101B-9397-08002B2CF9AE}" pid="43" name="Procedure type">
    <vt:lpwstr>Worksharing</vt:lpwstr>
  </property>
  <property fmtid="{D5CDD505-2E9C-101B-9397-08002B2CF9AE}" pid="44" name="Authorization Procedure">
    <vt:lpwstr>MRP</vt:lpwstr>
  </property>
  <property fmtid="{D5CDD505-2E9C-101B-9397-08002B2CF9AE}" pid="45" name="MSIP_Label_bfd0b529-4a04-4616-88d2-531082d94bb8_Enabled">
    <vt:lpwstr>true</vt:lpwstr>
  </property>
  <property fmtid="{D5CDD505-2E9C-101B-9397-08002B2CF9AE}" pid="46" name="MSIP_Label_bfd0b529-4a04-4616-88d2-531082d94bb8_SetDate">
    <vt:lpwstr>2025-01-21T07:56:17Z</vt:lpwstr>
  </property>
  <property fmtid="{D5CDD505-2E9C-101B-9397-08002B2CF9AE}" pid="47" name="MSIP_Label_bfd0b529-4a04-4616-88d2-531082d94bb8_Method">
    <vt:lpwstr>Standard</vt:lpwstr>
  </property>
  <property fmtid="{D5CDD505-2E9C-101B-9397-08002B2CF9AE}" pid="48" name="MSIP_Label_bfd0b529-4a04-4616-88d2-531082d94bb8_Name">
    <vt:lpwstr>Internal Use</vt:lpwstr>
  </property>
  <property fmtid="{D5CDD505-2E9C-101B-9397-08002B2CF9AE}" pid="49" name="MSIP_Label_bfd0b529-4a04-4616-88d2-531082d94bb8_SiteId">
    <vt:lpwstr>e1f8af86-ee95-4718-bd0d-375b37366c83</vt:lpwstr>
  </property>
  <property fmtid="{D5CDD505-2E9C-101B-9397-08002B2CF9AE}" pid="50" name="MSIP_Label_bfd0b529-4a04-4616-88d2-531082d94bb8_ActionId">
    <vt:lpwstr>ec66fff0-cd40-483e-b962-819e6da3dd4d</vt:lpwstr>
  </property>
  <property fmtid="{D5CDD505-2E9C-101B-9397-08002B2CF9AE}" pid="51" name="MSIP_Label_bfd0b529-4a04-4616-88d2-531082d94bb8_ContentBits">
    <vt:lpwstr>0</vt:lpwstr>
  </property>
  <property fmtid="{D5CDD505-2E9C-101B-9397-08002B2CF9AE}" pid="52" name="ContentTypeId">
    <vt:lpwstr>0x010100D0E6C19FE0F7F848AF3EF01C796F4799</vt:lpwstr>
  </property>
  <property fmtid="{D5CDD505-2E9C-101B-9397-08002B2CF9AE}" pid="53" name="MediaServiceImageTags">
    <vt:lpwstr/>
  </property>
</Properties>
</file>